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11" w:rsidRPr="00273341" w:rsidRDefault="00E55211" w:rsidP="00E55211">
      <w:pPr>
        <w:jc w:val="center"/>
        <w:rPr>
          <w:rFonts w:eastAsia="Calibri"/>
          <w:b/>
          <w:smallCaps/>
        </w:rPr>
      </w:pPr>
      <w:bookmarkStart w:id="0" w:name="_GoBack"/>
      <w:bookmarkEnd w:id="0"/>
      <w:r w:rsidRPr="00273341">
        <w:rPr>
          <w:rFonts w:eastAsia="Calibri"/>
          <w:b/>
          <w:smallCaps/>
        </w:rPr>
        <w:t>Amendment #1</w:t>
      </w:r>
    </w:p>
    <w:p w:rsidR="00E55211" w:rsidRPr="00273341" w:rsidRDefault="00E55211" w:rsidP="00E55211">
      <w:pPr>
        <w:jc w:val="center"/>
        <w:rPr>
          <w:rFonts w:eastAsia="Calibri"/>
          <w:b/>
          <w:smallCaps/>
        </w:rPr>
      </w:pPr>
      <w:r w:rsidRPr="00273341">
        <w:rPr>
          <w:rFonts w:eastAsia="Calibri"/>
          <w:b/>
          <w:smallCaps/>
        </w:rPr>
        <w:t>Proposed Amendment To</w:t>
      </w:r>
    </w:p>
    <w:p w:rsidR="00E55211" w:rsidRDefault="00E55211" w:rsidP="00E55211">
      <w:pPr>
        <w:pStyle w:val="BodyText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Create Short Term Rental Regulations</w:t>
      </w:r>
    </w:p>
    <w:p w:rsidR="00E55211" w:rsidRDefault="00E55211" w:rsidP="00E55211">
      <w:pPr>
        <w:pStyle w:val="BodyText"/>
        <w:jc w:val="center"/>
        <w:rPr>
          <w:smallCaps/>
          <w:sz w:val="28"/>
          <w:szCs w:val="28"/>
        </w:rPr>
      </w:pPr>
    </w:p>
    <w:p w:rsidR="00E55211" w:rsidRPr="00AB14AC" w:rsidRDefault="00E55211" w:rsidP="00E55211">
      <w:pPr>
        <w:pStyle w:val="BodyText"/>
        <w:jc w:val="center"/>
        <w:rPr>
          <w:smallCaps/>
          <w:sz w:val="28"/>
          <w:szCs w:val="28"/>
        </w:rPr>
      </w:pPr>
    </w:p>
    <w:p w:rsidR="005209B6" w:rsidRPr="005209B6" w:rsidRDefault="005209B6" w:rsidP="004D1795">
      <w:pPr>
        <w:rPr>
          <w:color w:val="000000" w:themeColor="text1"/>
        </w:rPr>
      </w:pPr>
      <w:r>
        <w:rPr>
          <w:b/>
          <w:smallCaps/>
          <w:color w:val="000000" w:themeColor="text1"/>
          <w:u w:val="single"/>
        </w:rPr>
        <w:t>Proposed New Article 22, Short-Term Rentals</w:t>
      </w:r>
    </w:p>
    <w:p w:rsidR="005209B6" w:rsidRPr="005209B6" w:rsidRDefault="00F821A6" w:rsidP="004D1795">
      <w:pPr>
        <w:rPr>
          <w:color w:val="000000" w:themeColor="text1"/>
        </w:rPr>
      </w:pPr>
      <w:r>
        <w:rPr>
          <w:color w:val="000000" w:themeColor="text1"/>
        </w:rPr>
        <w:t>The proposed new Article 22, Short-Term Rentals, is provided in a separate document, attached.  If for any reason you need assistance obtaining a copy, please contact the Gilford Department of Planning and Land Use at 603-527-4727.</w:t>
      </w:r>
    </w:p>
    <w:p w:rsidR="005209B6" w:rsidRPr="005209B6" w:rsidRDefault="005209B6" w:rsidP="004D1795">
      <w:pPr>
        <w:rPr>
          <w:color w:val="000000" w:themeColor="text1"/>
        </w:rPr>
      </w:pPr>
    </w:p>
    <w:p w:rsidR="004D1795" w:rsidRPr="008B27C9" w:rsidRDefault="008B27C9" w:rsidP="004D1795">
      <w:pPr>
        <w:rPr>
          <w:b/>
          <w:smallCaps/>
          <w:color w:val="000000" w:themeColor="text1"/>
          <w:u w:val="single"/>
        </w:rPr>
      </w:pPr>
      <w:r w:rsidRPr="008B27C9">
        <w:rPr>
          <w:b/>
          <w:smallCaps/>
          <w:color w:val="000000" w:themeColor="text1"/>
          <w:u w:val="single"/>
        </w:rPr>
        <w:t>Article 4, Permitted Uses and Regulations</w:t>
      </w:r>
    </w:p>
    <w:p w:rsidR="005158EA" w:rsidRDefault="004D1795" w:rsidP="005158EA">
      <w:pPr>
        <w:ind w:left="720"/>
        <w:rPr>
          <w:color w:val="000000" w:themeColor="text1"/>
        </w:rPr>
      </w:pPr>
      <w:r w:rsidRPr="004D1795">
        <w:rPr>
          <w:color w:val="000000" w:themeColor="text1"/>
        </w:rPr>
        <w:t>A “Y” indicates the use is a permitted use.  An “E” indicates the use is permitted upon approval of a special exception granted by the Board of Adjustment in accordance with the provisions of Article 11, “Special Exceptions”.  An “N” indicates the use is not permitted; however, a non-permitted use may be permitted by variance (see Article 12, “Variances”).  A “C” indicates that the use is permitted with the issuance of a conditional use permit granted by the Planning Board in accordance with the provisions of Article 21, “Conditional Use Permits”</w:t>
      </w:r>
      <w:r w:rsidR="008B27C9">
        <w:rPr>
          <w:color w:val="000000" w:themeColor="text1"/>
        </w:rPr>
        <w:t xml:space="preserve"> </w:t>
      </w:r>
      <w:r w:rsidR="008B27C9" w:rsidRPr="008B27C9">
        <w:rPr>
          <w:color w:val="000000" w:themeColor="text1"/>
          <w:highlight w:val="yellow"/>
        </w:rPr>
        <w:t xml:space="preserve">except as may be otherwise </w:t>
      </w:r>
      <w:r w:rsidR="008B27C9">
        <w:rPr>
          <w:color w:val="000000" w:themeColor="text1"/>
          <w:highlight w:val="yellow"/>
        </w:rPr>
        <w:t xml:space="preserve">provided for </w:t>
      </w:r>
      <w:r w:rsidR="008B27C9" w:rsidRPr="008B27C9">
        <w:rPr>
          <w:color w:val="000000" w:themeColor="text1"/>
          <w:highlight w:val="yellow"/>
        </w:rPr>
        <w:t>elsewhere in this Ordinance</w:t>
      </w:r>
      <w:r w:rsidRPr="004D1795">
        <w:rPr>
          <w:color w:val="000000" w:themeColor="text1"/>
        </w:rPr>
        <w:t xml:space="preserve">. </w:t>
      </w:r>
    </w:p>
    <w:p w:rsidR="005158EA" w:rsidRDefault="005158EA" w:rsidP="004D1795">
      <w:pPr>
        <w:ind w:left="720" w:right="720"/>
        <w:rPr>
          <w:color w:val="000000" w:themeColor="text1"/>
        </w:rPr>
      </w:pPr>
    </w:p>
    <w:p w:rsidR="005158EA" w:rsidRDefault="005158EA" w:rsidP="005158EA">
      <w:pPr>
        <w:spacing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4.2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Residential Uses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542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5158EA" w:rsidTr="00A25502">
        <w:tc>
          <w:tcPr>
            <w:tcW w:w="994" w:type="dxa"/>
            <w:shd w:val="pct15" w:color="auto" w:fill="FFFFFF"/>
          </w:tcPr>
          <w:p w:rsidR="005158EA" w:rsidRDefault="005158EA" w:rsidP="00A25502">
            <w:pPr>
              <w:rPr>
                <w:sz w:val="22"/>
              </w:rPr>
            </w:pPr>
          </w:p>
        </w:tc>
        <w:tc>
          <w:tcPr>
            <w:tcW w:w="3542" w:type="dxa"/>
            <w:shd w:val="pct15" w:color="auto" w:fill="FFFFFF"/>
          </w:tcPr>
          <w:p w:rsidR="005158EA" w:rsidRDefault="005158EA" w:rsidP="00A25502">
            <w:pPr>
              <w:rPr>
                <w:sz w:val="22"/>
              </w:rPr>
            </w:pP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NRR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SFR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LR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IR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PC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RC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677" w:type="dxa"/>
            <w:shd w:val="pct15" w:color="auto" w:fill="FFFFFF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I</w:t>
            </w:r>
          </w:p>
        </w:tc>
      </w:tr>
      <w:tr w:rsidR="005158EA" w:rsidTr="00A25502">
        <w:tc>
          <w:tcPr>
            <w:tcW w:w="994" w:type="dxa"/>
            <w:tcBorders>
              <w:bottom w:val="nil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3542" w:type="dxa"/>
            <w:tcBorders>
              <w:bottom w:val="nil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Boarding House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nil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4.2.2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Cluster Development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4.2.3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 xml:space="preserve">Manufactured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Housing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sz w:val="22"/>
                  </w:rPr>
                  <w:t>Park</w:t>
                </w:r>
              </w:smartTag>
            </w:smartTag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4.2.4</w:t>
            </w:r>
          </w:p>
        </w:tc>
        <w:tc>
          <w:tcPr>
            <w:tcW w:w="3542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Manufactured Housing Subdivision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4.2.5</w:t>
            </w:r>
          </w:p>
        </w:tc>
        <w:tc>
          <w:tcPr>
            <w:tcW w:w="3542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Planned Unit Development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4.2.6</w:t>
            </w:r>
          </w:p>
        </w:tc>
        <w:tc>
          <w:tcPr>
            <w:tcW w:w="3542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Single-Family Residence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4.2.7</w:t>
            </w:r>
          </w:p>
        </w:tc>
        <w:tc>
          <w:tcPr>
            <w:tcW w:w="3542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Two-Family Residence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4.2.8</w:t>
            </w:r>
          </w:p>
        </w:tc>
        <w:tc>
          <w:tcPr>
            <w:tcW w:w="3542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Multi-Family Development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A25502">
        <w:tc>
          <w:tcPr>
            <w:tcW w:w="994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4.2.9</w:t>
            </w:r>
          </w:p>
        </w:tc>
        <w:tc>
          <w:tcPr>
            <w:tcW w:w="3542" w:type="dxa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Dormitory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5158EA">
        <w:tc>
          <w:tcPr>
            <w:tcW w:w="994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4.2.10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Senior Housing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  <w:tr w:rsidR="005158EA" w:rsidTr="005158EA">
        <w:tc>
          <w:tcPr>
            <w:tcW w:w="994" w:type="dxa"/>
            <w:shd w:val="clear" w:color="auto" w:fill="FFFF00"/>
          </w:tcPr>
          <w:p w:rsidR="005158EA" w:rsidRDefault="005158EA" w:rsidP="00A25502">
            <w:pPr>
              <w:rPr>
                <w:sz w:val="22"/>
              </w:rPr>
            </w:pPr>
            <w:r>
              <w:rPr>
                <w:sz w:val="22"/>
              </w:rPr>
              <w:t>4.2.11</w:t>
            </w:r>
          </w:p>
        </w:tc>
        <w:tc>
          <w:tcPr>
            <w:tcW w:w="3542" w:type="dxa"/>
            <w:shd w:val="clear" w:color="auto" w:fill="FFFF00"/>
          </w:tcPr>
          <w:p w:rsidR="005158EA" w:rsidRDefault="005158EA" w:rsidP="005158EA">
            <w:pPr>
              <w:rPr>
                <w:sz w:val="22"/>
              </w:rPr>
            </w:pPr>
            <w:r>
              <w:rPr>
                <w:sz w:val="22"/>
              </w:rPr>
              <w:t>Short-Term Rental</w:t>
            </w:r>
          </w:p>
        </w:tc>
        <w:tc>
          <w:tcPr>
            <w:tcW w:w="677" w:type="dxa"/>
            <w:shd w:val="clear" w:color="auto" w:fill="FFFF00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677" w:type="dxa"/>
            <w:shd w:val="clear" w:color="auto" w:fill="FFFF00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677" w:type="dxa"/>
            <w:shd w:val="clear" w:color="auto" w:fill="FFFF00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677" w:type="dxa"/>
            <w:shd w:val="clear" w:color="auto" w:fill="FFFF00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677" w:type="dxa"/>
            <w:shd w:val="clear" w:color="auto" w:fill="FFFF00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677" w:type="dxa"/>
            <w:shd w:val="clear" w:color="auto" w:fill="FFFF00"/>
          </w:tcPr>
          <w:p w:rsidR="005158EA" w:rsidRDefault="005158EA" w:rsidP="00A255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677" w:type="dxa"/>
            <w:shd w:val="clear" w:color="auto" w:fill="FFFF00"/>
          </w:tcPr>
          <w:p w:rsidR="005158EA" w:rsidRPr="00EB2FCF" w:rsidRDefault="00EB2FCF" w:rsidP="00A25502">
            <w:pPr>
              <w:jc w:val="center"/>
              <w:rPr>
                <w:color w:val="000000" w:themeColor="text1"/>
                <w:sz w:val="22"/>
              </w:rPr>
            </w:pPr>
            <w:r w:rsidRPr="00EB2FCF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677" w:type="dxa"/>
            <w:shd w:val="clear" w:color="auto" w:fill="FFFF00"/>
          </w:tcPr>
          <w:p w:rsidR="005158EA" w:rsidRPr="00EB2FCF" w:rsidRDefault="00F92832" w:rsidP="00A25502">
            <w:pPr>
              <w:jc w:val="center"/>
              <w:rPr>
                <w:color w:val="000000" w:themeColor="text1"/>
                <w:sz w:val="22"/>
              </w:rPr>
            </w:pPr>
            <w:r w:rsidRPr="00EB2FCF">
              <w:rPr>
                <w:color w:val="000000" w:themeColor="text1"/>
                <w:sz w:val="22"/>
              </w:rPr>
              <w:t>N</w:t>
            </w:r>
          </w:p>
        </w:tc>
      </w:tr>
    </w:tbl>
    <w:p w:rsidR="005158EA" w:rsidRDefault="005158EA" w:rsidP="00EE408E">
      <w:pPr>
        <w:rPr>
          <w:b/>
          <w:color w:val="000000"/>
          <w:u w:val="single"/>
        </w:rPr>
      </w:pPr>
    </w:p>
    <w:p w:rsidR="005158EA" w:rsidRPr="007872F9" w:rsidRDefault="005158EA" w:rsidP="00EE408E">
      <w:pPr>
        <w:widowControl w:val="0"/>
        <w:ind w:left="432"/>
        <w:rPr>
          <w:b/>
          <w:snapToGrid w:val="0"/>
          <w:color w:val="000000"/>
        </w:rPr>
      </w:pPr>
      <w:r w:rsidRPr="007872F9">
        <w:rPr>
          <w:b/>
          <w:snapToGrid w:val="0"/>
          <w:color w:val="000000"/>
        </w:rPr>
        <w:t>4.7.2  Residential Uses</w:t>
      </w:r>
    </w:p>
    <w:p w:rsidR="00F92832" w:rsidRPr="00F92832" w:rsidRDefault="005158EA" w:rsidP="00F92832">
      <w:pPr>
        <w:widowControl w:val="0"/>
        <w:ind w:left="1296" w:hanging="432"/>
        <w:rPr>
          <w:color w:val="1F497D"/>
        </w:rPr>
      </w:pPr>
      <w:r w:rsidRPr="005158EA">
        <w:rPr>
          <w:snapToGrid w:val="0"/>
          <w:highlight w:val="yellow"/>
        </w:rPr>
        <w:t>(k)</w:t>
      </w:r>
      <w:r w:rsidRPr="005158EA">
        <w:rPr>
          <w:snapToGrid w:val="0"/>
          <w:highlight w:val="yellow"/>
        </w:rPr>
        <w:tab/>
      </w:r>
      <w:r w:rsidRPr="005158EA">
        <w:rPr>
          <w:snapToGrid w:val="0"/>
          <w:highlight w:val="yellow"/>
          <w:u w:val="single"/>
        </w:rPr>
        <w:t>Short-Term Rental</w:t>
      </w:r>
      <w:r w:rsidRPr="005158EA">
        <w:rPr>
          <w:snapToGrid w:val="0"/>
          <w:highlight w:val="yellow"/>
        </w:rPr>
        <w:t xml:space="preserve"> – </w:t>
      </w:r>
      <w:r w:rsidR="00EE408E">
        <w:rPr>
          <w:snapToGrid w:val="0"/>
          <w:highlight w:val="yellow"/>
        </w:rPr>
        <w:t xml:space="preserve">Refer to Article 22, Short-Term Rentals, for a definition and regulations for </w:t>
      </w:r>
      <w:r w:rsidRPr="005158EA">
        <w:rPr>
          <w:highlight w:val="yellow"/>
        </w:rPr>
        <w:t>Short-Term Rentals</w:t>
      </w:r>
      <w:r w:rsidR="00EE408E">
        <w:rPr>
          <w:highlight w:val="yellow"/>
        </w:rPr>
        <w:t xml:space="preserve">.  Short-Term Rentals </w:t>
      </w:r>
      <w:r w:rsidRPr="005158EA">
        <w:rPr>
          <w:highlight w:val="yellow"/>
        </w:rPr>
        <w:t>shall be permitted only upon the issuance of a conditional use permit pursuant to the provisions of Article 22</w:t>
      </w:r>
      <w:r w:rsidR="00F92832" w:rsidRPr="00EB2FCF">
        <w:rPr>
          <w:color w:val="000000" w:themeColor="text1"/>
          <w:highlight w:val="yellow"/>
        </w:rPr>
        <w:t xml:space="preserve">.  Short-Term </w:t>
      </w:r>
      <w:r w:rsidR="00F92832" w:rsidRPr="00EB2FCF">
        <w:rPr>
          <w:bCs/>
          <w:iCs/>
          <w:color w:val="000000" w:themeColor="text1"/>
          <w:highlight w:val="yellow"/>
        </w:rPr>
        <w:t>Rentals are allowed in such districts in which single-family and/or two-family residences are permitted or</w:t>
      </w:r>
      <w:r w:rsidR="00EB2FCF" w:rsidRPr="00EB2FCF">
        <w:rPr>
          <w:bCs/>
          <w:iCs/>
          <w:color w:val="000000" w:themeColor="text1"/>
          <w:highlight w:val="yellow"/>
        </w:rPr>
        <w:t xml:space="preserve"> on parcels</w:t>
      </w:r>
      <w:r w:rsidR="00F92832" w:rsidRPr="00EB2FCF">
        <w:rPr>
          <w:bCs/>
          <w:iCs/>
          <w:color w:val="000000" w:themeColor="text1"/>
          <w:highlight w:val="yellow"/>
        </w:rPr>
        <w:t xml:space="preserve"> where a single-family or two-family residence has already been permitted by a special exception.</w:t>
      </w:r>
    </w:p>
    <w:p w:rsidR="00F92832" w:rsidRDefault="00F92832" w:rsidP="00F92832">
      <w:pPr>
        <w:ind w:left="1296"/>
        <w:rPr>
          <w:b/>
          <w:smallCaps/>
          <w:color w:val="000000" w:themeColor="text1"/>
          <w:u w:val="single"/>
        </w:rPr>
      </w:pPr>
    </w:p>
    <w:p w:rsidR="00F92832" w:rsidRDefault="00F92832" w:rsidP="00EE408E">
      <w:pPr>
        <w:rPr>
          <w:b/>
          <w:smallCaps/>
          <w:color w:val="000000" w:themeColor="text1"/>
          <w:u w:val="single"/>
        </w:rPr>
      </w:pPr>
    </w:p>
    <w:p w:rsidR="008B27C9" w:rsidRPr="008B27C9" w:rsidRDefault="008B27C9" w:rsidP="00EE408E">
      <w:pPr>
        <w:rPr>
          <w:b/>
          <w:smallCaps/>
          <w:color w:val="000000" w:themeColor="text1"/>
          <w:u w:val="single"/>
        </w:rPr>
      </w:pPr>
      <w:r w:rsidRPr="008B27C9">
        <w:rPr>
          <w:b/>
          <w:smallCaps/>
          <w:color w:val="000000" w:themeColor="text1"/>
          <w:u w:val="single"/>
        </w:rPr>
        <w:t>Article 21, Conditional Use Permits</w:t>
      </w:r>
    </w:p>
    <w:p w:rsidR="004D1795" w:rsidRPr="004D1795" w:rsidRDefault="004D1795" w:rsidP="00EE408E">
      <w:pPr>
        <w:pStyle w:val="Default"/>
        <w:ind w:left="720"/>
        <w:rPr>
          <w:color w:val="000000" w:themeColor="text1"/>
          <w:sz w:val="22"/>
          <w:szCs w:val="22"/>
        </w:rPr>
      </w:pPr>
      <w:r w:rsidRPr="004D1795">
        <w:rPr>
          <w:b/>
          <w:bCs/>
          <w:color w:val="000000" w:themeColor="text1"/>
          <w:sz w:val="22"/>
          <w:szCs w:val="22"/>
          <w:u w:val="single"/>
        </w:rPr>
        <w:t>21.1  Planning Board to Administer</w:t>
      </w:r>
      <w:r w:rsidRPr="004D1795">
        <w:rPr>
          <w:color w:val="000000" w:themeColor="text1"/>
          <w:sz w:val="22"/>
          <w:szCs w:val="22"/>
        </w:rPr>
        <w:t xml:space="preserve"> – </w:t>
      </w:r>
      <w:r w:rsidRPr="008B27C9">
        <w:rPr>
          <w:iCs/>
          <w:color w:val="000000" w:themeColor="text1"/>
          <w:highlight w:val="yellow"/>
        </w:rPr>
        <w:t>Except where otherwise expressly stated elsewhere in this Ordinance</w:t>
      </w:r>
      <w:r w:rsidRPr="004D1795">
        <w:rPr>
          <w:color w:val="000000" w:themeColor="text1"/>
          <w:highlight w:val="yellow"/>
        </w:rPr>
        <w:t>,</w:t>
      </w:r>
      <w:r w:rsidRPr="004D1795">
        <w:rPr>
          <w:color w:val="000000" w:themeColor="text1"/>
        </w:rPr>
        <w:t xml:space="preserve"> </w:t>
      </w:r>
      <w:r w:rsidRPr="004D1795">
        <w:rPr>
          <w:dstrike/>
          <w:color w:val="000000" w:themeColor="text1"/>
          <w:sz w:val="22"/>
          <w:szCs w:val="22"/>
        </w:rPr>
        <w:t>W</w:t>
      </w:r>
      <w:r w:rsidRPr="004D1795">
        <w:rPr>
          <w:color w:val="000000" w:themeColor="text1"/>
          <w:sz w:val="22"/>
          <w:szCs w:val="22"/>
          <w:highlight w:val="yellow"/>
        </w:rPr>
        <w:t>w</w:t>
      </w:r>
      <w:r w:rsidRPr="004D1795">
        <w:rPr>
          <w:color w:val="000000" w:themeColor="text1"/>
          <w:sz w:val="22"/>
          <w:szCs w:val="22"/>
        </w:rPr>
        <w:t>herever a conditional use is authorized by this ordinance, the authority to administer or grant conditional use permits shall be vested in the Planning Board and authorized pursuant to RSA 674:21, Innovative Land Use Controls.</w:t>
      </w:r>
    </w:p>
    <w:p w:rsidR="004D1795" w:rsidRPr="004D1795" w:rsidRDefault="004D1795" w:rsidP="00EE408E">
      <w:pPr>
        <w:pStyle w:val="Default"/>
        <w:ind w:left="720"/>
        <w:rPr>
          <w:color w:val="000000" w:themeColor="text1"/>
          <w:sz w:val="22"/>
          <w:szCs w:val="22"/>
        </w:rPr>
      </w:pPr>
    </w:p>
    <w:p w:rsidR="004D1795" w:rsidRPr="004D1795" w:rsidRDefault="004D1795" w:rsidP="00EE408E">
      <w:pPr>
        <w:pStyle w:val="Default"/>
        <w:ind w:left="720"/>
        <w:rPr>
          <w:color w:val="000000" w:themeColor="text1"/>
        </w:rPr>
      </w:pPr>
      <w:r w:rsidRPr="004D1795">
        <w:rPr>
          <w:b/>
          <w:bCs/>
          <w:color w:val="000000" w:themeColor="text1"/>
          <w:sz w:val="22"/>
          <w:szCs w:val="22"/>
          <w:u w:val="single"/>
        </w:rPr>
        <w:t>21.2  Application and Review Procedure</w:t>
      </w:r>
      <w:r w:rsidRPr="004D1795">
        <w:rPr>
          <w:color w:val="000000" w:themeColor="text1"/>
          <w:sz w:val="22"/>
          <w:szCs w:val="22"/>
        </w:rPr>
        <w:t xml:space="preserve"> – </w:t>
      </w:r>
      <w:r w:rsidRPr="004D1795">
        <w:rPr>
          <w:color w:val="000000" w:themeColor="text1"/>
          <w:sz w:val="22"/>
          <w:szCs w:val="22"/>
          <w:highlight w:val="yellow"/>
        </w:rPr>
        <w:t xml:space="preserve">Except as otherwise provided </w:t>
      </w:r>
      <w:r w:rsidR="008B27C9">
        <w:rPr>
          <w:color w:val="000000" w:themeColor="text1"/>
          <w:sz w:val="22"/>
          <w:szCs w:val="22"/>
          <w:highlight w:val="yellow"/>
        </w:rPr>
        <w:t xml:space="preserve">for </w:t>
      </w:r>
      <w:r w:rsidRPr="004D1795">
        <w:rPr>
          <w:color w:val="000000" w:themeColor="text1"/>
          <w:sz w:val="22"/>
          <w:szCs w:val="22"/>
          <w:highlight w:val="yellow"/>
        </w:rPr>
        <w:t>herein,</w:t>
      </w:r>
      <w:r>
        <w:rPr>
          <w:color w:val="000000" w:themeColor="text1"/>
          <w:sz w:val="22"/>
          <w:szCs w:val="22"/>
        </w:rPr>
        <w:t xml:space="preserve"> </w:t>
      </w:r>
      <w:r w:rsidRPr="004D1795">
        <w:rPr>
          <w:dstrike/>
          <w:color w:val="000000" w:themeColor="text1"/>
          <w:sz w:val="22"/>
          <w:szCs w:val="22"/>
        </w:rPr>
        <w:t>A</w:t>
      </w:r>
      <w:r w:rsidRPr="004D1795">
        <w:rPr>
          <w:color w:val="000000" w:themeColor="text1"/>
          <w:sz w:val="22"/>
          <w:szCs w:val="22"/>
          <w:highlight w:val="yellow"/>
        </w:rPr>
        <w:t>a</w:t>
      </w:r>
      <w:r w:rsidRPr="004D1795">
        <w:rPr>
          <w:color w:val="000000" w:themeColor="text1"/>
          <w:sz w:val="22"/>
          <w:szCs w:val="22"/>
        </w:rPr>
        <w:t>n application for a conditional use shall be initiated by filing with the Planning Board an application for a conditional use permit.  Where other required development approvals for a conditional use include subdivision or site plan approval by the Planning Board, the application for a conditional use permit shall be made concurrently.  Approval of a conditional use permit shall be valid for one (1) year from the date of approval.</w:t>
      </w:r>
    </w:p>
    <w:p w:rsidR="00E55211" w:rsidRDefault="00E55211" w:rsidP="00E55211">
      <w:pPr>
        <w:ind w:left="432" w:hanging="432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F821A6" w:rsidRDefault="00F821A6" w:rsidP="00E55211">
      <w:pPr>
        <w:ind w:left="432" w:hanging="432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E55211" w:rsidRPr="00E55211" w:rsidRDefault="00E55211" w:rsidP="00E55211">
      <w:pPr>
        <w:ind w:left="432" w:hanging="432"/>
        <w:rPr>
          <w:rFonts w:ascii="Arial" w:hAnsi="Arial" w:cs="Arial"/>
          <w:color w:val="000000"/>
          <w:sz w:val="18"/>
          <w:szCs w:val="18"/>
        </w:rPr>
      </w:pPr>
      <w:r w:rsidRPr="00E55211">
        <w:rPr>
          <w:rFonts w:ascii="Arial" w:hAnsi="Arial" w:cs="Arial"/>
          <w:color w:val="000000"/>
          <w:sz w:val="18"/>
          <w:szCs w:val="18"/>
          <w:highlight w:val="yellow"/>
        </w:rPr>
        <w:t>Yellow highlighted text</w:t>
      </w:r>
      <w:r w:rsidRPr="00E55211">
        <w:rPr>
          <w:rFonts w:ascii="Arial" w:hAnsi="Arial" w:cs="Arial"/>
          <w:color w:val="000000"/>
          <w:sz w:val="18"/>
          <w:szCs w:val="18"/>
        </w:rPr>
        <w:t xml:space="preserve"> is proposed new wording.</w:t>
      </w:r>
    </w:p>
    <w:p w:rsidR="004D1795" w:rsidRDefault="00E55211" w:rsidP="00E55211">
      <w:pPr>
        <w:ind w:left="432" w:hanging="432"/>
        <w:rPr>
          <w:rFonts w:ascii="Arial" w:hAnsi="Arial" w:cs="Arial"/>
          <w:color w:val="000000"/>
          <w:sz w:val="18"/>
          <w:szCs w:val="18"/>
        </w:rPr>
      </w:pPr>
      <w:r w:rsidRPr="00E55211">
        <w:rPr>
          <w:rFonts w:ascii="Arial" w:hAnsi="Arial" w:cs="Arial"/>
          <w:strike/>
          <w:color w:val="000000"/>
          <w:sz w:val="18"/>
          <w:szCs w:val="18"/>
        </w:rPr>
        <w:t>Strikeout text</w:t>
      </w:r>
      <w:r w:rsidRPr="00E55211">
        <w:rPr>
          <w:rFonts w:ascii="Arial" w:hAnsi="Arial" w:cs="Arial"/>
          <w:color w:val="000000"/>
          <w:sz w:val="18"/>
          <w:szCs w:val="18"/>
        </w:rPr>
        <w:t xml:space="preserve"> is existing wording proposed to be deleted.</w:t>
      </w:r>
    </w:p>
    <w:p w:rsidR="005209B6" w:rsidRPr="004D1795" w:rsidRDefault="005209B6" w:rsidP="00E55211">
      <w:pPr>
        <w:ind w:left="432" w:hanging="432"/>
        <w:rPr>
          <w:color w:val="000000" w:themeColor="text1"/>
        </w:rPr>
      </w:pPr>
    </w:p>
    <w:sectPr w:rsidR="005209B6" w:rsidRPr="004D1795" w:rsidSect="00E55211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11" w:rsidRDefault="00E55211" w:rsidP="00E55211">
      <w:r>
        <w:separator/>
      </w:r>
    </w:p>
  </w:endnote>
  <w:endnote w:type="continuationSeparator" w:id="0">
    <w:p w:rsidR="00E55211" w:rsidRDefault="00E55211" w:rsidP="00E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6" w:rsidRDefault="00F821A6" w:rsidP="00E55211">
    <w:pPr>
      <w:pStyle w:val="Footer"/>
      <w:jc w:val="center"/>
      <w:rPr>
        <w:rFonts w:ascii="Arial" w:eastAsia="Times New Roman" w:hAnsi="Arial" w:cs="Arial"/>
        <w:b/>
        <w:smallCaps/>
        <w:sz w:val="18"/>
        <w:szCs w:val="18"/>
      </w:rPr>
    </w:pPr>
  </w:p>
  <w:p w:rsidR="00E55211" w:rsidRDefault="00E55211" w:rsidP="00E55211">
    <w:pPr>
      <w:pStyle w:val="Footer"/>
      <w:jc w:val="center"/>
      <w:rPr>
        <w:rFonts w:ascii="Arial" w:eastAsia="Times New Roman" w:hAnsi="Arial" w:cs="Arial"/>
        <w:b/>
        <w:smallCaps/>
        <w:sz w:val="18"/>
        <w:szCs w:val="18"/>
      </w:rPr>
    </w:pPr>
    <w:r w:rsidRPr="00E55211">
      <w:rPr>
        <w:rFonts w:ascii="Arial" w:eastAsia="Times New Roman" w:hAnsi="Arial" w:cs="Arial"/>
        <w:b/>
        <w:smallCaps/>
        <w:sz w:val="18"/>
        <w:szCs w:val="18"/>
      </w:rPr>
      <w:t xml:space="preserve">Draft Zoning Ordinance Amendment For </w:t>
    </w:r>
    <w:r w:rsidR="00F42D55">
      <w:rPr>
        <w:rFonts w:ascii="Arial" w:eastAsia="Times New Roman" w:hAnsi="Arial" w:cs="Arial"/>
        <w:b/>
        <w:smallCaps/>
        <w:sz w:val="18"/>
        <w:szCs w:val="18"/>
      </w:rPr>
      <w:t>1</w:t>
    </w:r>
    <w:r w:rsidR="00F42D55" w:rsidRPr="00F42D55">
      <w:rPr>
        <w:rFonts w:ascii="Arial" w:eastAsia="Times New Roman" w:hAnsi="Arial" w:cs="Arial"/>
        <w:b/>
        <w:smallCaps/>
        <w:sz w:val="18"/>
        <w:szCs w:val="18"/>
        <w:vertAlign w:val="superscript"/>
      </w:rPr>
      <w:t>st</w:t>
    </w:r>
    <w:r w:rsidR="00F42D55">
      <w:rPr>
        <w:rFonts w:ascii="Arial" w:eastAsia="Times New Roman" w:hAnsi="Arial" w:cs="Arial"/>
        <w:b/>
        <w:smallCaps/>
        <w:sz w:val="18"/>
        <w:szCs w:val="18"/>
      </w:rPr>
      <w:t xml:space="preserve"> </w:t>
    </w:r>
    <w:r w:rsidRPr="00E55211">
      <w:rPr>
        <w:rFonts w:ascii="Arial" w:eastAsia="Times New Roman" w:hAnsi="Arial" w:cs="Arial"/>
        <w:b/>
        <w:smallCaps/>
        <w:sz w:val="18"/>
        <w:szCs w:val="18"/>
      </w:rPr>
      <w:t xml:space="preserve">Public Hearing </w:t>
    </w:r>
    <w:r w:rsidRPr="00E55211">
      <w:rPr>
        <w:rFonts w:ascii="Arial" w:eastAsia="Times New Roman" w:hAnsi="Arial" w:cs="Arial"/>
        <w:b/>
        <w:smallCaps/>
        <w:sz w:val="18"/>
        <w:szCs w:val="18"/>
      </w:rPr>
      <w:sym w:font="Symbol" w:char="F0B7"/>
    </w:r>
    <w:r w:rsidRPr="00E55211">
      <w:rPr>
        <w:rFonts w:ascii="Arial" w:eastAsia="Times New Roman" w:hAnsi="Arial" w:cs="Arial"/>
        <w:b/>
        <w:smallCaps/>
        <w:sz w:val="18"/>
        <w:szCs w:val="18"/>
      </w:rPr>
      <w:t xml:space="preserve"> </w:t>
    </w:r>
    <w:r w:rsidR="00F42D55">
      <w:rPr>
        <w:rFonts w:ascii="Arial" w:eastAsia="Times New Roman" w:hAnsi="Arial" w:cs="Arial"/>
        <w:b/>
        <w:smallCaps/>
        <w:sz w:val="18"/>
        <w:szCs w:val="18"/>
      </w:rPr>
      <w:t>December 19</w:t>
    </w:r>
    <w:r w:rsidRPr="00E55211">
      <w:rPr>
        <w:rFonts w:ascii="Arial" w:eastAsia="Times New Roman" w:hAnsi="Arial" w:cs="Arial"/>
        <w:b/>
        <w:smallCaps/>
        <w:sz w:val="18"/>
        <w:szCs w:val="18"/>
      </w:rPr>
      <w:t>, 20</w:t>
    </w:r>
    <w:r>
      <w:rPr>
        <w:rFonts w:ascii="Arial" w:eastAsia="Times New Roman" w:hAnsi="Arial" w:cs="Arial"/>
        <w:b/>
        <w:smallCaps/>
        <w:sz w:val="18"/>
        <w:szCs w:val="18"/>
      </w:rPr>
      <w:t>22</w:t>
    </w:r>
  </w:p>
  <w:p w:rsidR="00F821A6" w:rsidRPr="00F821A6" w:rsidRDefault="00F821A6" w:rsidP="00E55211">
    <w:pPr>
      <w:pStyle w:val="Footer"/>
      <w:jc w:val="center"/>
      <w:rPr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Town of </w:t>
    </w:r>
    <w:r w:rsidRPr="00F821A6">
      <w:rPr>
        <w:rFonts w:ascii="Arial" w:hAnsi="Arial" w:cs="Arial"/>
        <w:b/>
        <w:smallCaps/>
        <w:sz w:val="16"/>
        <w:szCs w:val="16"/>
      </w:rPr>
      <w:t>Gilford Planning Board</w:t>
    </w:r>
    <w:r w:rsidRPr="00F821A6">
      <w:rPr>
        <w:rFonts w:ascii="Arial" w:eastAsia="Times New Roman" w:hAnsi="Arial" w:cs="Arial"/>
        <w:b/>
        <w:smallCaps/>
        <w:sz w:val="16"/>
        <w:szCs w:val="16"/>
      </w:rPr>
      <w:t xml:space="preserve"> </w:t>
    </w:r>
    <w:r w:rsidRPr="00F821A6">
      <w:rPr>
        <w:rFonts w:ascii="Arial" w:eastAsia="Times New Roman" w:hAnsi="Arial" w:cs="Arial"/>
        <w:b/>
        <w:smallCaps/>
        <w:sz w:val="16"/>
        <w:szCs w:val="16"/>
      </w:rPr>
      <w:sym w:font="Symbol" w:char="F0B7"/>
    </w:r>
    <w:r w:rsidRPr="00F821A6">
      <w:rPr>
        <w:rFonts w:ascii="Arial" w:eastAsia="Times New Roman" w:hAnsi="Arial" w:cs="Arial"/>
        <w:b/>
        <w:smallCaps/>
        <w:sz w:val="16"/>
        <w:szCs w:val="16"/>
      </w:rPr>
      <w:t xml:space="preserve"> </w:t>
    </w:r>
    <w:r w:rsidRPr="00F821A6">
      <w:rPr>
        <w:rFonts w:ascii="Arial" w:hAnsi="Arial" w:cs="Arial"/>
        <w:b/>
        <w:smallCaps/>
        <w:sz w:val="16"/>
        <w:szCs w:val="16"/>
      </w:rPr>
      <w:t xml:space="preserve">Page </w:t>
    </w:r>
    <w:r w:rsidRPr="00F821A6">
      <w:rPr>
        <w:rFonts w:ascii="Arial" w:hAnsi="Arial" w:cs="Arial"/>
        <w:b/>
        <w:smallCaps/>
        <w:sz w:val="16"/>
        <w:szCs w:val="16"/>
      </w:rPr>
      <w:fldChar w:fldCharType="begin"/>
    </w:r>
    <w:r w:rsidRPr="00F821A6">
      <w:rPr>
        <w:rFonts w:ascii="Arial" w:hAnsi="Arial" w:cs="Arial"/>
        <w:b/>
        <w:smallCaps/>
        <w:sz w:val="16"/>
        <w:szCs w:val="16"/>
      </w:rPr>
      <w:instrText xml:space="preserve"> PAGE </w:instrText>
    </w:r>
    <w:r w:rsidRPr="00F821A6">
      <w:rPr>
        <w:rFonts w:ascii="Arial" w:hAnsi="Arial" w:cs="Arial"/>
        <w:b/>
        <w:smallCaps/>
        <w:sz w:val="16"/>
        <w:szCs w:val="16"/>
      </w:rPr>
      <w:fldChar w:fldCharType="separate"/>
    </w:r>
    <w:r w:rsidR="00135003">
      <w:rPr>
        <w:rFonts w:ascii="Arial" w:hAnsi="Arial" w:cs="Arial"/>
        <w:b/>
        <w:smallCaps/>
        <w:noProof/>
        <w:sz w:val="16"/>
        <w:szCs w:val="16"/>
      </w:rPr>
      <w:t>2</w:t>
    </w:r>
    <w:r w:rsidRPr="00F821A6">
      <w:rPr>
        <w:rFonts w:ascii="Arial" w:hAnsi="Arial" w:cs="Arial"/>
        <w:b/>
        <w:smallCaps/>
        <w:sz w:val="16"/>
        <w:szCs w:val="16"/>
      </w:rPr>
      <w:fldChar w:fldCharType="end"/>
    </w:r>
    <w:r w:rsidRPr="00F821A6">
      <w:rPr>
        <w:rFonts w:ascii="Arial" w:hAnsi="Arial" w:cs="Arial"/>
        <w:b/>
        <w:smallCaps/>
        <w:sz w:val="16"/>
        <w:szCs w:val="16"/>
      </w:rPr>
      <w:t xml:space="preserve"> of </w:t>
    </w:r>
    <w:r w:rsidRPr="00F821A6">
      <w:rPr>
        <w:rFonts w:ascii="Arial" w:hAnsi="Arial" w:cs="Arial"/>
        <w:b/>
        <w:smallCaps/>
        <w:sz w:val="16"/>
        <w:szCs w:val="16"/>
      </w:rPr>
      <w:fldChar w:fldCharType="begin"/>
    </w:r>
    <w:r w:rsidRPr="00F821A6">
      <w:rPr>
        <w:rFonts w:ascii="Arial" w:hAnsi="Arial" w:cs="Arial"/>
        <w:b/>
        <w:smallCaps/>
        <w:sz w:val="16"/>
        <w:szCs w:val="16"/>
      </w:rPr>
      <w:instrText xml:space="preserve"> NUMPAGES  </w:instrText>
    </w:r>
    <w:r w:rsidRPr="00F821A6">
      <w:rPr>
        <w:rFonts w:ascii="Arial" w:hAnsi="Arial" w:cs="Arial"/>
        <w:b/>
        <w:smallCaps/>
        <w:sz w:val="16"/>
        <w:szCs w:val="16"/>
      </w:rPr>
      <w:fldChar w:fldCharType="separate"/>
    </w:r>
    <w:r w:rsidR="00135003">
      <w:rPr>
        <w:rFonts w:ascii="Arial" w:hAnsi="Arial" w:cs="Arial"/>
        <w:b/>
        <w:smallCaps/>
        <w:noProof/>
        <w:sz w:val="16"/>
        <w:szCs w:val="16"/>
      </w:rPr>
      <w:t>2</w:t>
    </w:r>
    <w:r w:rsidRPr="00F821A6">
      <w:rPr>
        <w:rFonts w:ascii="Arial" w:hAnsi="Arial" w:cs="Arial"/>
        <w:b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11" w:rsidRDefault="00E55211" w:rsidP="00E55211">
      <w:r>
        <w:separator/>
      </w:r>
    </w:p>
  </w:footnote>
  <w:footnote w:type="continuationSeparator" w:id="0">
    <w:p w:rsidR="00E55211" w:rsidRDefault="00E55211" w:rsidP="00E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08"/>
    <w:rsid w:val="0003379A"/>
    <w:rsid w:val="00135003"/>
    <w:rsid w:val="00150470"/>
    <w:rsid w:val="004D1795"/>
    <w:rsid w:val="005158EA"/>
    <w:rsid w:val="005209B6"/>
    <w:rsid w:val="005A7F71"/>
    <w:rsid w:val="005D0C1C"/>
    <w:rsid w:val="00661C98"/>
    <w:rsid w:val="0070224F"/>
    <w:rsid w:val="0083176B"/>
    <w:rsid w:val="008B27C9"/>
    <w:rsid w:val="008F21A3"/>
    <w:rsid w:val="009951E5"/>
    <w:rsid w:val="009D0E08"/>
    <w:rsid w:val="00AD3048"/>
    <w:rsid w:val="00BB602A"/>
    <w:rsid w:val="00BC5E27"/>
    <w:rsid w:val="00BD1331"/>
    <w:rsid w:val="00CC378E"/>
    <w:rsid w:val="00E55211"/>
    <w:rsid w:val="00EB2FCF"/>
    <w:rsid w:val="00EE408E"/>
    <w:rsid w:val="00F2785A"/>
    <w:rsid w:val="00F42D55"/>
    <w:rsid w:val="00F821A6"/>
    <w:rsid w:val="00F92832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70747-F814-4A11-8C4B-450669D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133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">
    <w:name w:val="Default"/>
    <w:basedOn w:val="Normal"/>
    <w:rsid w:val="004D1795"/>
    <w:pPr>
      <w:autoSpaceDE w:val="0"/>
      <w:autoSpaceDN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11"/>
  </w:style>
  <w:style w:type="paragraph" w:styleId="Footer">
    <w:name w:val="footer"/>
    <w:basedOn w:val="Normal"/>
    <w:link w:val="FooterChar"/>
    <w:uiPriority w:val="99"/>
    <w:unhideWhenUsed/>
    <w:rsid w:val="00E5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11"/>
  </w:style>
  <w:style w:type="paragraph" w:styleId="BodyText">
    <w:name w:val="Body Text"/>
    <w:basedOn w:val="Normal"/>
    <w:link w:val="BodyTextChar"/>
    <w:rsid w:val="00E55211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55211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Ayer</dc:creator>
  <cp:keywords/>
  <dc:description/>
  <cp:lastModifiedBy>John Ayer</cp:lastModifiedBy>
  <cp:revision>2</cp:revision>
  <cp:lastPrinted>2022-12-05T23:38:00Z</cp:lastPrinted>
  <dcterms:created xsi:type="dcterms:W3CDTF">2022-12-07T22:06:00Z</dcterms:created>
  <dcterms:modified xsi:type="dcterms:W3CDTF">2022-12-07T22:06:00Z</dcterms:modified>
</cp:coreProperties>
</file>