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AA35" w14:textId="77777777" w:rsidR="00E55211" w:rsidRPr="00273341" w:rsidRDefault="00E55211" w:rsidP="00E55211">
      <w:pPr>
        <w:jc w:val="center"/>
        <w:rPr>
          <w:rFonts w:eastAsia="Calibri"/>
          <w:b/>
          <w:smallCaps/>
        </w:rPr>
      </w:pPr>
      <w:r w:rsidRPr="00273341">
        <w:rPr>
          <w:rFonts w:eastAsia="Calibri"/>
          <w:b/>
          <w:smallCaps/>
        </w:rPr>
        <w:t>Proposed Amendment To</w:t>
      </w:r>
    </w:p>
    <w:p w14:paraId="7D8084FF" w14:textId="13EC2165" w:rsidR="00E55211" w:rsidRDefault="00980B15" w:rsidP="00E55211">
      <w:pPr>
        <w:pStyle w:val="BodyText"/>
        <w:jc w:val="center"/>
        <w:rPr>
          <w:b/>
          <w:smallCaps/>
          <w:sz w:val="28"/>
          <w:szCs w:val="28"/>
          <w:u w:val="single"/>
        </w:rPr>
      </w:pPr>
      <w:r>
        <w:rPr>
          <w:b/>
          <w:smallCaps/>
          <w:sz w:val="28"/>
          <w:szCs w:val="28"/>
          <w:u w:val="single"/>
        </w:rPr>
        <w:t>Create Workforce Housing Regulations</w:t>
      </w:r>
    </w:p>
    <w:p w14:paraId="467B315C" w14:textId="77777777" w:rsidR="00E55211" w:rsidRDefault="00E55211" w:rsidP="00E55211">
      <w:pPr>
        <w:pStyle w:val="BodyText"/>
        <w:jc w:val="center"/>
        <w:rPr>
          <w:smallCaps/>
          <w:sz w:val="28"/>
          <w:szCs w:val="28"/>
        </w:rPr>
      </w:pPr>
    </w:p>
    <w:p w14:paraId="7F2160AC" w14:textId="77777777" w:rsidR="00E55211" w:rsidRPr="00AB14AC" w:rsidRDefault="00E55211" w:rsidP="00E55211">
      <w:pPr>
        <w:pStyle w:val="BodyText"/>
        <w:jc w:val="center"/>
        <w:rPr>
          <w:smallCaps/>
          <w:sz w:val="28"/>
          <w:szCs w:val="28"/>
        </w:rPr>
      </w:pPr>
    </w:p>
    <w:p w14:paraId="4A89C16D" w14:textId="65827087" w:rsidR="00FF6250" w:rsidRDefault="00FF6250" w:rsidP="00F31BDB">
      <w:pPr>
        <w:ind w:left="1440" w:hanging="1440"/>
        <w:rPr>
          <w:bCs/>
        </w:rPr>
      </w:pPr>
      <w:r w:rsidRPr="00FF6250">
        <w:rPr>
          <w:b/>
          <w:bCs/>
          <w:u w:val="single"/>
        </w:rPr>
        <w:t>Background</w:t>
      </w:r>
      <w:r>
        <w:rPr>
          <w:bCs/>
        </w:rPr>
        <w:tab/>
      </w:r>
      <w:r w:rsidR="00093EE9">
        <w:rPr>
          <w:bCs/>
        </w:rPr>
        <w:t xml:space="preserve">Workforce Housing has been described as housing intended for </w:t>
      </w:r>
      <w:r w:rsidR="00925CE4">
        <w:rPr>
          <w:bCs/>
        </w:rPr>
        <w:t xml:space="preserve">middle-income people such as </w:t>
      </w:r>
      <w:r w:rsidR="00093EE9">
        <w:rPr>
          <w:bCs/>
        </w:rPr>
        <w:t xml:space="preserve">school teachers, firefighters, police </w:t>
      </w:r>
      <w:r w:rsidR="00520C82">
        <w:rPr>
          <w:bCs/>
        </w:rPr>
        <w:t>officers</w:t>
      </w:r>
      <w:r w:rsidR="00093EE9">
        <w:rPr>
          <w:bCs/>
        </w:rPr>
        <w:t xml:space="preserve">, </w:t>
      </w:r>
      <w:r w:rsidR="00925CE4">
        <w:rPr>
          <w:bCs/>
        </w:rPr>
        <w:t xml:space="preserve">store clerks, </w:t>
      </w:r>
      <w:r w:rsidR="00520C82">
        <w:rPr>
          <w:bCs/>
        </w:rPr>
        <w:t xml:space="preserve">wait staff, </w:t>
      </w:r>
      <w:r w:rsidR="00925CE4">
        <w:rPr>
          <w:bCs/>
        </w:rPr>
        <w:t xml:space="preserve">and other individuals and families with different needs and income levels.  The types of housing can include starter homes, townhouses, condominiums, and apartments.  </w:t>
      </w:r>
      <w:r w:rsidR="00980B15" w:rsidRPr="00093EE9">
        <w:rPr>
          <w:bCs/>
        </w:rPr>
        <w:t>In 202</w:t>
      </w:r>
      <w:r w:rsidR="00093EE9" w:rsidRPr="00093EE9">
        <w:rPr>
          <w:bCs/>
        </w:rPr>
        <w:t>2</w:t>
      </w:r>
      <w:r w:rsidR="00980B15" w:rsidRPr="00093EE9">
        <w:rPr>
          <w:bCs/>
        </w:rPr>
        <w:t xml:space="preserve"> the NH Legislature </w:t>
      </w:r>
      <w:r w:rsidR="00093EE9" w:rsidRPr="00093EE9">
        <w:rPr>
          <w:bCs/>
        </w:rPr>
        <w:t xml:space="preserve">amended RSA 674:17, IV. to require that </w:t>
      </w:r>
      <w:r w:rsidR="00093EE9">
        <w:rPr>
          <w:bCs/>
        </w:rPr>
        <w:t>“</w:t>
      </w:r>
      <w:r w:rsidR="00093EE9" w:rsidRPr="00093EE9">
        <w:rPr>
          <w:color w:val="000000"/>
        </w:rPr>
        <w:t>incentives established for housing for older persons shall be deemed applicable to workforce housing development</w:t>
      </w:r>
      <w:r w:rsidR="00093EE9">
        <w:rPr>
          <w:color w:val="000000"/>
        </w:rPr>
        <w:t>”</w:t>
      </w:r>
      <w:r w:rsidR="00093EE9" w:rsidRPr="00093EE9">
        <w:rPr>
          <w:color w:val="000000"/>
        </w:rPr>
        <w:t>.</w:t>
      </w:r>
      <w:r w:rsidR="00093EE9">
        <w:rPr>
          <w:color w:val="000000"/>
        </w:rPr>
        <w:t xml:space="preserve">  In the spirit of that requirement</w:t>
      </w:r>
      <w:r w:rsidR="00925CE4">
        <w:rPr>
          <w:color w:val="000000"/>
        </w:rPr>
        <w:t>,</w:t>
      </w:r>
      <w:r w:rsidR="00093EE9">
        <w:rPr>
          <w:color w:val="000000"/>
        </w:rPr>
        <w:t xml:space="preserve"> this amendment proposes to incorporate Workforce Housing </w:t>
      </w:r>
      <w:r w:rsidR="00093EE9">
        <w:rPr>
          <w:color w:val="000000"/>
        </w:rPr>
        <w:t xml:space="preserve">regulations </w:t>
      </w:r>
      <w:r w:rsidR="00093EE9">
        <w:rPr>
          <w:color w:val="000000"/>
        </w:rPr>
        <w:t xml:space="preserve">in the Town’s existing Senior Housing ordinance.  It allows </w:t>
      </w:r>
      <w:r w:rsidR="00155E0A">
        <w:rPr>
          <w:color w:val="000000"/>
        </w:rPr>
        <w:t xml:space="preserve">both </w:t>
      </w:r>
      <w:r w:rsidR="00093EE9">
        <w:rPr>
          <w:color w:val="000000"/>
        </w:rPr>
        <w:t xml:space="preserve">uses in the same zones </w:t>
      </w:r>
      <w:r w:rsidR="00925CE4">
        <w:rPr>
          <w:color w:val="000000"/>
        </w:rPr>
        <w:t xml:space="preserve">at </w:t>
      </w:r>
      <w:r w:rsidR="00925CE4">
        <w:rPr>
          <w:color w:val="000000"/>
        </w:rPr>
        <w:t xml:space="preserve">the same density </w:t>
      </w:r>
      <w:r w:rsidR="00925CE4">
        <w:rPr>
          <w:color w:val="000000"/>
        </w:rPr>
        <w:t xml:space="preserve">with </w:t>
      </w:r>
      <w:r w:rsidR="00093EE9">
        <w:rPr>
          <w:color w:val="000000"/>
        </w:rPr>
        <w:t>the same building configurations.  The primary difference</w:t>
      </w:r>
      <w:r w:rsidR="00F31BDB">
        <w:rPr>
          <w:color w:val="000000"/>
        </w:rPr>
        <w:t>s</w:t>
      </w:r>
      <w:r w:rsidR="00093EE9">
        <w:rPr>
          <w:color w:val="000000"/>
        </w:rPr>
        <w:t xml:space="preserve"> would be </w:t>
      </w:r>
      <w:r w:rsidR="00F31BDB">
        <w:rPr>
          <w:color w:val="000000"/>
        </w:rPr>
        <w:t xml:space="preserve">different definitions of the two uses and </w:t>
      </w:r>
      <w:r w:rsidR="00093EE9">
        <w:rPr>
          <w:color w:val="000000"/>
        </w:rPr>
        <w:t>slightly higher parking required for Workforce Housing.</w:t>
      </w:r>
      <w:r w:rsidR="00F31BDB">
        <w:rPr>
          <w:color w:val="000000"/>
        </w:rPr>
        <w:t xml:space="preserve">  The amendments also propose allowing </w:t>
      </w:r>
      <w:r w:rsidR="00155E0A">
        <w:rPr>
          <w:color w:val="000000"/>
        </w:rPr>
        <w:t xml:space="preserve">one, two, and </w:t>
      </w:r>
      <w:r w:rsidR="00F31BDB">
        <w:rPr>
          <w:color w:val="000000"/>
        </w:rPr>
        <w:t xml:space="preserve">three bedroom units for </w:t>
      </w:r>
      <w:r w:rsidR="00155E0A">
        <w:rPr>
          <w:color w:val="000000"/>
        </w:rPr>
        <w:t xml:space="preserve">both </w:t>
      </w:r>
      <w:r w:rsidR="00F31BDB">
        <w:rPr>
          <w:color w:val="000000"/>
        </w:rPr>
        <w:t xml:space="preserve">Senior </w:t>
      </w:r>
      <w:r w:rsidR="00155E0A">
        <w:rPr>
          <w:color w:val="000000"/>
        </w:rPr>
        <w:t>and Workforce Housing where only one and two bedroom units are currently allowed for Senior Housing</w:t>
      </w:r>
      <w:r w:rsidR="00F31BDB">
        <w:rPr>
          <w:color w:val="000000"/>
        </w:rPr>
        <w:t>.</w:t>
      </w:r>
    </w:p>
    <w:p w14:paraId="21CE5AFA" w14:textId="77777777" w:rsidR="00B4522B" w:rsidRPr="00FF6250" w:rsidRDefault="00B4522B" w:rsidP="00FF6250">
      <w:pPr>
        <w:rPr>
          <w:bCs/>
        </w:rPr>
      </w:pPr>
      <w:r>
        <w:rPr>
          <w:bCs/>
          <w:noProof/>
        </w:rPr>
        <mc:AlternateContent>
          <mc:Choice Requires="wps">
            <w:drawing>
              <wp:anchor distT="0" distB="0" distL="114300" distR="114300" simplePos="0" relativeHeight="251659264" behindDoc="0" locked="0" layoutInCell="1" allowOverlap="1" wp14:anchorId="09D9BBC5" wp14:editId="010524C0">
                <wp:simplePos x="0" y="0"/>
                <wp:positionH relativeFrom="page">
                  <wp:align>center</wp:align>
                </wp:positionH>
                <wp:positionV relativeFrom="paragraph">
                  <wp:posOffset>119380</wp:posOffset>
                </wp:positionV>
                <wp:extent cx="60807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6080760" cy="0"/>
                        </a:xfrm>
                        <a:prstGeom prst="line">
                          <a:avLst/>
                        </a:prstGeom>
                        <a:ln w="22225" cmpd="dbl">
                          <a:gradFill>
                            <a:gsLst>
                              <a:gs pos="0">
                                <a:schemeClr val="tx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9D4A56" id="Straight Connector 1" o:spid="_x0000_s1026" style="position:absolute;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4pt" to="478.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" strokeweight="1.75pt">
                <v:stroke linestyle="thinThin" joinstyle="miter"/>
                <w10:wrap anchorx="page"/>
              </v:line>
            </w:pict>
          </mc:Fallback>
        </mc:AlternateContent>
      </w:r>
    </w:p>
    <w:p w14:paraId="71875F12" w14:textId="77777777" w:rsidR="00F31BDB" w:rsidRDefault="00F31BDB" w:rsidP="00F31BDB"/>
    <w:p w14:paraId="71572302" w14:textId="77777777" w:rsidR="00F31BDB" w:rsidRPr="00715C96" w:rsidRDefault="00F31BDB" w:rsidP="00F31BDB">
      <w:r w:rsidRPr="00715C96">
        <w:t>ARTICLE 3, DEFINITIONS</w:t>
      </w:r>
    </w:p>
    <w:p w14:paraId="36E6EC1A" w14:textId="77777777" w:rsidR="00F31BDB" w:rsidRDefault="00F31BDB" w:rsidP="00F31BDB">
      <w:pPr>
        <w:rPr>
          <w:u w:val="single"/>
        </w:rPr>
      </w:pPr>
    </w:p>
    <w:p w14:paraId="53FC7C55" w14:textId="77777777" w:rsidR="00F31BDB" w:rsidRDefault="00F31BDB" w:rsidP="00F31BDB">
      <w:pPr>
        <w:ind w:left="432"/>
        <w:rPr>
          <w:color w:val="212529"/>
          <w:shd w:val="clear" w:color="auto" w:fill="FFFFFF"/>
        </w:rPr>
      </w:pPr>
      <w:r w:rsidRPr="001E495A">
        <w:rPr>
          <w:b/>
          <w:color w:val="000000" w:themeColor="text1"/>
          <w:highlight w:val="yellow"/>
          <w:u w:val="single"/>
        </w:rPr>
        <w:t>Workforce Housing</w:t>
      </w:r>
      <w:r w:rsidRPr="001E495A">
        <w:rPr>
          <w:color w:val="000000" w:themeColor="text1"/>
          <w:highlight w:val="yellow"/>
        </w:rPr>
        <w:t xml:space="preserve"> –</w:t>
      </w:r>
      <w:r w:rsidRPr="001E495A">
        <w:rPr>
          <w:color w:val="000000" w:themeColor="text1"/>
          <w:highlight w:val="yellow"/>
          <w:u w:color="000000" w:themeColor="text1"/>
        </w:rPr>
        <w:t xml:space="preserve"> H</w:t>
      </w:r>
      <w:r w:rsidRPr="001E495A">
        <w:rPr>
          <w:color w:val="000000" w:themeColor="text1"/>
          <w:highlight w:val="yellow"/>
          <w:shd w:val="clear" w:color="auto" w:fill="FFFFFF"/>
        </w:rPr>
        <w:t xml:space="preserve">ousing that is intended for sale and that is affordable to a household with an income of no more than one hundred percent (100%) of the median income for a four-person household for the metropolitan area or county in which the housing is located as published annually by the United States Department of Housing and Urban Development; also, rental housing that is affordable to a household with an income of no more than sixty percent (60%) of the median income for a three-person household for the metropolitan area or county in which the housing is located as published annually by the United States Department of Housing and Urban Development </w:t>
      </w:r>
      <w:r w:rsidRPr="001E495A">
        <w:rPr>
          <w:color w:val="000000" w:themeColor="text1"/>
          <w:highlight w:val="yellow"/>
          <w:u w:color="000000" w:themeColor="text1"/>
          <w:shd w:val="clear" w:color="auto" w:fill="FFFFFF"/>
        </w:rPr>
        <w:t>(see similar definition in RSA 674:58</w:t>
      </w:r>
      <w:r>
        <w:rPr>
          <w:color w:val="000000" w:themeColor="text1"/>
          <w:highlight w:val="yellow"/>
          <w:u w:color="000000" w:themeColor="text1"/>
          <w:shd w:val="clear" w:color="auto" w:fill="FFFFFF"/>
        </w:rPr>
        <w:t>,</w:t>
      </w:r>
      <w:r w:rsidRPr="001E495A">
        <w:rPr>
          <w:color w:val="000000" w:themeColor="text1"/>
          <w:highlight w:val="yellow"/>
          <w:u w:color="000000" w:themeColor="text1"/>
          <w:shd w:val="clear" w:color="auto" w:fill="FFFFFF"/>
        </w:rPr>
        <w:t xml:space="preserve"> IV.)</w:t>
      </w:r>
    </w:p>
    <w:p w14:paraId="183AAF62" w14:textId="77777777" w:rsidR="00F31BDB" w:rsidRDefault="00F31BDB" w:rsidP="00F31BDB">
      <w:pPr>
        <w:ind w:left="432"/>
        <w:rPr>
          <w:color w:val="212529"/>
          <w:shd w:val="clear" w:color="auto" w:fill="FFFFFF"/>
        </w:rPr>
      </w:pPr>
    </w:p>
    <w:p w14:paraId="71C40EDD" w14:textId="77777777" w:rsidR="00F31BDB" w:rsidRDefault="00F31BDB" w:rsidP="00F31BDB">
      <w:r w:rsidRPr="00715C96">
        <w:t>ARTICLE 4, PERMITTED USES AND REGULATIONS</w:t>
      </w:r>
    </w:p>
    <w:p w14:paraId="097B1B77" w14:textId="77777777" w:rsidR="00F31BDB" w:rsidRPr="00715C96" w:rsidRDefault="00F31BDB" w:rsidP="00F31BDB"/>
    <w:p w14:paraId="52D95C5A" w14:textId="77777777" w:rsidR="00F31BDB" w:rsidRDefault="00F31BDB" w:rsidP="00F31BDB">
      <w:pPr>
        <w:spacing w:after="120"/>
        <w:rPr>
          <w:b/>
          <w:color w:val="000000"/>
          <w:u w:val="single"/>
        </w:rPr>
      </w:pPr>
      <w:r>
        <w:rPr>
          <w:b/>
          <w:color w:val="000000"/>
          <w:u w:val="single"/>
        </w:rPr>
        <w:t>4.2</w:t>
      </w:r>
      <w:r>
        <w:rPr>
          <w:b/>
          <w:color w:val="000000"/>
        </w:rPr>
        <w:tab/>
      </w:r>
      <w:r>
        <w:rPr>
          <w:b/>
          <w:color w:val="000000"/>
          <w:u w:val="single"/>
        </w:rPr>
        <w:t>Residential Uses</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3542"/>
        <w:gridCol w:w="677"/>
        <w:gridCol w:w="677"/>
        <w:gridCol w:w="677"/>
        <w:gridCol w:w="677"/>
        <w:gridCol w:w="677"/>
        <w:gridCol w:w="677"/>
        <w:gridCol w:w="677"/>
        <w:gridCol w:w="677"/>
      </w:tblGrid>
      <w:tr w:rsidR="00F31BDB" w14:paraId="38181E30" w14:textId="77777777" w:rsidTr="00602F18">
        <w:tc>
          <w:tcPr>
            <w:tcW w:w="994" w:type="dxa"/>
            <w:shd w:val="pct15" w:color="auto" w:fill="FFFFFF"/>
          </w:tcPr>
          <w:p w14:paraId="77B8C468" w14:textId="77777777" w:rsidR="00F31BDB" w:rsidRDefault="00F31BDB" w:rsidP="00602F18">
            <w:pPr>
              <w:rPr>
                <w:sz w:val="22"/>
              </w:rPr>
            </w:pPr>
          </w:p>
        </w:tc>
        <w:tc>
          <w:tcPr>
            <w:tcW w:w="3542" w:type="dxa"/>
            <w:shd w:val="pct15" w:color="auto" w:fill="FFFFFF"/>
          </w:tcPr>
          <w:p w14:paraId="0653B036" w14:textId="77777777" w:rsidR="00F31BDB" w:rsidRDefault="00F31BDB" w:rsidP="00602F18">
            <w:pPr>
              <w:rPr>
                <w:sz w:val="22"/>
              </w:rPr>
            </w:pPr>
          </w:p>
        </w:tc>
        <w:tc>
          <w:tcPr>
            <w:tcW w:w="677" w:type="dxa"/>
            <w:shd w:val="pct15" w:color="auto" w:fill="FFFFFF"/>
          </w:tcPr>
          <w:p w14:paraId="539BC6C8" w14:textId="77777777" w:rsidR="00F31BDB" w:rsidRDefault="00F31BDB" w:rsidP="00602F18">
            <w:pPr>
              <w:jc w:val="center"/>
              <w:rPr>
                <w:sz w:val="22"/>
              </w:rPr>
            </w:pPr>
            <w:r>
              <w:rPr>
                <w:color w:val="000000"/>
                <w:sz w:val="22"/>
              </w:rPr>
              <w:t>NRR</w:t>
            </w:r>
          </w:p>
        </w:tc>
        <w:tc>
          <w:tcPr>
            <w:tcW w:w="677" w:type="dxa"/>
            <w:shd w:val="pct15" w:color="auto" w:fill="FFFFFF"/>
          </w:tcPr>
          <w:p w14:paraId="1A25C538" w14:textId="77777777" w:rsidR="00F31BDB" w:rsidRDefault="00F31BDB" w:rsidP="00602F18">
            <w:pPr>
              <w:jc w:val="center"/>
              <w:rPr>
                <w:sz w:val="22"/>
              </w:rPr>
            </w:pPr>
            <w:r>
              <w:rPr>
                <w:color w:val="000000"/>
                <w:sz w:val="22"/>
              </w:rPr>
              <w:t>SFR</w:t>
            </w:r>
          </w:p>
        </w:tc>
        <w:tc>
          <w:tcPr>
            <w:tcW w:w="677" w:type="dxa"/>
            <w:shd w:val="pct15" w:color="auto" w:fill="FFFFFF"/>
          </w:tcPr>
          <w:p w14:paraId="360BB1A9" w14:textId="77777777" w:rsidR="00F31BDB" w:rsidRDefault="00F31BDB" w:rsidP="00602F18">
            <w:pPr>
              <w:jc w:val="center"/>
              <w:rPr>
                <w:sz w:val="22"/>
              </w:rPr>
            </w:pPr>
            <w:r>
              <w:rPr>
                <w:color w:val="000000"/>
                <w:sz w:val="22"/>
              </w:rPr>
              <w:t>LR</w:t>
            </w:r>
          </w:p>
        </w:tc>
        <w:tc>
          <w:tcPr>
            <w:tcW w:w="677" w:type="dxa"/>
            <w:shd w:val="pct15" w:color="auto" w:fill="FFFFFF"/>
          </w:tcPr>
          <w:p w14:paraId="79AB82B2" w14:textId="77777777" w:rsidR="00F31BDB" w:rsidRDefault="00F31BDB" w:rsidP="00602F18">
            <w:pPr>
              <w:jc w:val="center"/>
              <w:rPr>
                <w:sz w:val="22"/>
              </w:rPr>
            </w:pPr>
            <w:r>
              <w:rPr>
                <w:color w:val="000000"/>
                <w:sz w:val="22"/>
              </w:rPr>
              <w:t>IR</w:t>
            </w:r>
          </w:p>
        </w:tc>
        <w:tc>
          <w:tcPr>
            <w:tcW w:w="677" w:type="dxa"/>
            <w:shd w:val="pct15" w:color="auto" w:fill="FFFFFF"/>
          </w:tcPr>
          <w:p w14:paraId="43C1F2DB" w14:textId="77777777" w:rsidR="00F31BDB" w:rsidRDefault="00F31BDB" w:rsidP="00602F18">
            <w:pPr>
              <w:jc w:val="center"/>
              <w:rPr>
                <w:sz w:val="22"/>
              </w:rPr>
            </w:pPr>
            <w:r>
              <w:rPr>
                <w:color w:val="000000"/>
                <w:sz w:val="22"/>
              </w:rPr>
              <w:t>PC</w:t>
            </w:r>
          </w:p>
        </w:tc>
        <w:tc>
          <w:tcPr>
            <w:tcW w:w="677" w:type="dxa"/>
            <w:shd w:val="pct15" w:color="auto" w:fill="FFFFFF"/>
          </w:tcPr>
          <w:p w14:paraId="028E8FB5" w14:textId="77777777" w:rsidR="00F31BDB" w:rsidRDefault="00F31BDB" w:rsidP="00602F18">
            <w:pPr>
              <w:jc w:val="center"/>
              <w:rPr>
                <w:sz w:val="22"/>
              </w:rPr>
            </w:pPr>
            <w:r>
              <w:rPr>
                <w:color w:val="000000"/>
                <w:sz w:val="22"/>
              </w:rPr>
              <w:t>RC</w:t>
            </w:r>
          </w:p>
        </w:tc>
        <w:tc>
          <w:tcPr>
            <w:tcW w:w="677" w:type="dxa"/>
            <w:shd w:val="pct15" w:color="auto" w:fill="FFFFFF"/>
          </w:tcPr>
          <w:p w14:paraId="322BC58E" w14:textId="77777777" w:rsidR="00F31BDB" w:rsidRDefault="00F31BDB" w:rsidP="00602F18">
            <w:pPr>
              <w:jc w:val="center"/>
              <w:rPr>
                <w:sz w:val="22"/>
              </w:rPr>
            </w:pPr>
            <w:r>
              <w:rPr>
                <w:color w:val="000000"/>
                <w:sz w:val="22"/>
              </w:rPr>
              <w:t>C</w:t>
            </w:r>
          </w:p>
        </w:tc>
        <w:tc>
          <w:tcPr>
            <w:tcW w:w="677" w:type="dxa"/>
            <w:shd w:val="pct15" w:color="auto" w:fill="FFFFFF"/>
          </w:tcPr>
          <w:p w14:paraId="5446B845" w14:textId="77777777" w:rsidR="00F31BDB" w:rsidRDefault="00F31BDB" w:rsidP="00602F18">
            <w:pPr>
              <w:jc w:val="center"/>
              <w:rPr>
                <w:sz w:val="22"/>
              </w:rPr>
            </w:pPr>
            <w:r>
              <w:rPr>
                <w:color w:val="000000"/>
                <w:sz w:val="22"/>
              </w:rPr>
              <w:t>I</w:t>
            </w:r>
          </w:p>
        </w:tc>
      </w:tr>
      <w:tr w:rsidR="00F31BDB" w14:paraId="0A2C0AFD" w14:textId="77777777" w:rsidTr="00602F18">
        <w:tc>
          <w:tcPr>
            <w:tcW w:w="994" w:type="dxa"/>
            <w:tcBorders>
              <w:bottom w:val="nil"/>
            </w:tcBorders>
          </w:tcPr>
          <w:p w14:paraId="104AD93A" w14:textId="77777777" w:rsidR="00F31BDB" w:rsidRDefault="00F31BDB" w:rsidP="00602F18">
            <w:pPr>
              <w:rPr>
                <w:sz w:val="22"/>
              </w:rPr>
            </w:pPr>
            <w:r>
              <w:rPr>
                <w:sz w:val="22"/>
              </w:rPr>
              <w:t>4.2.1</w:t>
            </w:r>
          </w:p>
        </w:tc>
        <w:tc>
          <w:tcPr>
            <w:tcW w:w="3542" w:type="dxa"/>
            <w:tcBorders>
              <w:bottom w:val="nil"/>
            </w:tcBorders>
          </w:tcPr>
          <w:p w14:paraId="227C4BFB" w14:textId="77777777" w:rsidR="00F31BDB" w:rsidRDefault="00F31BDB" w:rsidP="00602F18">
            <w:pPr>
              <w:rPr>
                <w:sz w:val="22"/>
              </w:rPr>
            </w:pPr>
            <w:r>
              <w:rPr>
                <w:color w:val="000000"/>
                <w:sz w:val="22"/>
              </w:rPr>
              <w:t>Boarding House</w:t>
            </w:r>
          </w:p>
        </w:tc>
        <w:tc>
          <w:tcPr>
            <w:tcW w:w="677" w:type="dxa"/>
            <w:tcBorders>
              <w:bottom w:val="nil"/>
            </w:tcBorders>
          </w:tcPr>
          <w:p w14:paraId="157BA1B8" w14:textId="77777777" w:rsidR="00F31BDB" w:rsidRDefault="00F31BDB" w:rsidP="00602F18">
            <w:pPr>
              <w:jc w:val="center"/>
              <w:rPr>
                <w:sz w:val="22"/>
              </w:rPr>
            </w:pPr>
            <w:r>
              <w:rPr>
                <w:sz w:val="22"/>
              </w:rPr>
              <w:t>E</w:t>
            </w:r>
          </w:p>
        </w:tc>
        <w:tc>
          <w:tcPr>
            <w:tcW w:w="677" w:type="dxa"/>
            <w:tcBorders>
              <w:bottom w:val="nil"/>
            </w:tcBorders>
          </w:tcPr>
          <w:p w14:paraId="42F7D8E6" w14:textId="77777777" w:rsidR="00F31BDB" w:rsidRDefault="00F31BDB" w:rsidP="00602F18">
            <w:pPr>
              <w:jc w:val="center"/>
              <w:rPr>
                <w:sz w:val="22"/>
              </w:rPr>
            </w:pPr>
            <w:r>
              <w:rPr>
                <w:sz w:val="22"/>
              </w:rPr>
              <w:t>E</w:t>
            </w:r>
          </w:p>
        </w:tc>
        <w:tc>
          <w:tcPr>
            <w:tcW w:w="677" w:type="dxa"/>
            <w:tcBorders>
              <w:bottom w:val="nil"/>
            </w:tcBorders>
          </w:tcPr>
          <w:p w14:paraId="3948CD37" w14:textId="77777777" w:rsidR="00F31BDB" w:rsidRDefault="00F31BDB" w:rsidP="00602F18">
            <w:pPr>
              <w:jc w:val="center"/>
              <w:rPr>
                <w:sz w:val="22"/>
              </w:rPr>
            </w:pPr>
            <w:r>
              <w:rPr>
                <w:sz w:val="22"/>
              </w:rPr>
              <w:t>E</w:t>
            </w:r>
          </w:p>
        </w:tc>
        <w:tc>
          <w:tcPr>
            <w:tcW w:w="677" w:type="dxa"/>
            <w:tcBorders>
              <w:bottom w:val="nil"/>
            </w:tcBorders>
          </w:tcPr>
          <w:p w14:paraId="38F592C5" w14:textId="77777777" w:rsidR="00F31BDB" w:rsidRDefault="00F31BDB" w:rsidP="00602F18">
            <w:pPr>
              <w:jc w:val="center"/>
              <w:rPr>
                <w:sz w:val="22"/>
              </w:rPr>
            </w:pPr>
            <w:r>
              <w:rPr>
                <w:sz w:val="22"/>
              </w:rPr>
              <w:t>N</w:t>
            </w:r>
          </w:p>
        </w:tc>
        <w:tc>
          <w:tcPr>
            <w:tcW w:w="677" w:type="dxa"/>
            <w:tcBorders>
              <w:bottom w:val="nil"/>
            </w:tcBorders>
          </w:tcPr>
          <w:p w14:paraId="400C5699" w14:textId="77777777" w:rsidR="00F31BDB" w:rsidRDefault="00F31BDB" w:rsidP="00602F18">
            <w:pPr>
              <w:jc w:val="center"/>
              <w:rPr>
                <w:sz w:val="22"/>
              </w:rPr>
            </w:pPr>
            <w:r>
              <w:rPr>
                <w:sz w:val="22"/>
              </w:rPr>
              <w:t>N</w:t>
            </w:r>
          </w:p>
        </w:tc>
        <w:tc>
          <w:tcPr>
            <w:tcW w:w="677" w:type="dxa"/>
            <w:tcBorders>
              <w:bottom w:val="nil"/>
            </w:tcBorders>
          </w:tcPr>
          <w:p w14:paraId="34630CEA" w14:textId="77777777" w:rsidR="00F31BDB" w:rsidRDefault="00F31BDB" w:rsidP="00602F18">
            <w:pPr>
              <w:jc w:val="center"/>
              <w:rPr>
                <w:sz w:val="22"/>
              </w:rPr>
            </w:pPr>
            <w:r>
              <w:rPr>
                <w:sz w:val="22"/>
              </w:rPr>
              <w:t>Y</w:t>
            </w:r>
          </w:p>
        </w:tc>
        <w:tc>
          <w:tcPr>
            <w:tcW w:w="677" w:type="dxa"/>
            <w:tcBorders>
              <w:bottom w:val="nil"/>
            </w:tcBorders>
          </w:tcPr>
          <w:p w14:paraId="56F344F9" w14:textId="77777777" w:rsidR="00F31BDB" w:rsidRDefault="00F31BDB" w:rsidP="00602F18">
            <w:pPr>
              <w:jc w:val="center"/>
              <w:rPr>
                <w:sz w:val="22"/>
              </w:rPr>
            </w:pPr>
            <w:r>
              <w:rPr>
                <w:sz w:val="22"/>
              </w:rPr>
              <w:t>N</w:t>
            </w:r>
          </w:p>
        </w:tc>
        <w:tc>
          <w:tcPr>
            <w:tcW w:w="677" w:type="dxa"/>
            <w:tcBorders>
              <w:bottom w:val="nil"/>
            </w:tcBorders>
          </w:tcPr>
          <w:p w14:paraId="4DA9E7BD" w14:textId="77777777" w:rsidR="00F31BDB" w:rsidRDefault="00F31BDB" w:rsidP="00602F18">
            <w:pPr>
              <w:jc w:val="center"/>
              <w:rPr>
                <w:sz w:val="22"/>
              </w:rPr>
            </w:pPr>
            <w:r>
              <w:rPr>
                <w:sz w:val="22"/>
              </w:rPr>
              <w:t>N</w:t>
            </w:r>
          </w:p>
        </w:tc>
      </w:tr>
      <w:tr w:rsidR="00F31BDB" w14:paraId="09A699CB" w14:textId="77777777" w:rsidTr="00602F18">
        <w:tc>
          <w:tcPr>
            <w:tcW w:w="994" w:type="dxa"/>
            <w:tcBorders>
              <w:bottom w:val="single" w:sz="4" w:space="0" w:color="auto"/>
            </w:tcBorders>
          </w:tcPr>
          <w:p w14:paraId="56AE50C5" w14:textId="77777777" w:rsidR="00F31BDB" w:rsidRDefault="00F31BDB" w:rsidP="00602F18">
            <w:pPr>
              <w:rPr>
                <w:sz w:val="22"/>
              </w:rPr>
            </w:pPr>
            <w:r>
              <w:rPr>
                <w:sz w:val="22"/>
              </w:rPr>
              <w:t>4.2.2</w:t>
            </w:r>
          </w:p>
        </w:tc>
        <w:tc>
          <w:tcPr>
            <w:tcW w:w="3542" w:type="dxa"/>
            <w:tcBorders>
              <w:bottom w:val="single" w:sz="4" w:space="0" w:color="auto"/>
            </w:tcBorders>
          </w:tcPr>
          <w:p w14:paraId="785D6CA1" w14:textId="77777777" w:rsidR="00F31BDB" w:rsidRDefault="00F31BDB" w:rsidP="00602F18">
            <w:pPr>
              <w:rPr>
                <w:sz w:val="22"/>
              </w:rPr>
            </w:pPr>
            <w:r>
              <w:rPr>
                <w:sz w:val="22"/>
              </w:rPr>
              <w:t>Cluster Development</w:t>
            </w:r>
          </w:p>
        </w:tc>
        <w:tc>
          <w:tcPr>
            <w:tcW w:w="677" w:type="dxa"/>
            <w:tcBorders>
              <w:bottom w:val="single" w:sz="4" w:space="0" w:color="auto"/>
            </w:tcBorders>
          </w:tcPr>
          <w:p w14:paraId="331D5F3D" w14:textId="77777777" w:rsidR="00F31BDB" w:rsidRDefault="00F31BDB" w:rsidP="00602F18">
            <w:pPr>
              <w:jc w:val="center"/>
              <w:rPr>
                <w:sz w:val="22"/>
              </w:rPr>
            </w:pPr>
            <w:r>
              <w:rPr>
                <w:sz w:val="22"/>
              </w:rPr>
              <w:t>E</w:t>
            </w:r>
          </w:p>
        </w:tc>
        <w:tc>
          <w:tcPr>
            <w:tcW w:w="677" w:type="dxa"/>
            <w:tcBorders>
              <w:bottom w:val="single" w:sz="4" w:space="0" w:color="auto"/>
            </w:tcBorders>
          </w:tcPr>
          <w:p w14:paraId="08DB7FA7" w14:textId="77777777" w:rsidR="00F31BDB" w:rsidRDefault="00F31BDB" w:rsidP="00602F18">
            <w:pPr>
              <w:jc w:val="center"/>
              <w:rPr>
                <w:sz w:val="22"/>
              </w:rPr>
            </w:pPr>
            <w:r>
              <w:rPr>
                <w:sz w:val="22"/>
              </w:rPr>
              <w:t>E</w:t>
            </w:r>
          </w:p>
        </w:tc>
        <w:tc>
          <w:tcPr>
            <w:tcW w:w="677" w:type="dxa"/>
            <w:tcBorders>
              <w:bottom w:val="single" w:sz="4" w:space="0" w:color="auto"/>
            </w:tcBorders>
          </w:tcPr>
          <w:p w14:paraId="67BCF0FF" w14:textId="77777777" w:rsidR="00F31BDB" w:rsidRDefault="00F31BDB" w:rsidP="00602F18">
            <w:pPr>
              <w:jc w:val="center"/>
              <w:rPr>
                <w:sz w:val="22"/>
              </w:rPr>
            </w:pPr>
            <w:r>
              <w:rPr>
                <w:sz w:val="22"/>
              </w:rPr>
              <w:t>E</w:t>
            </w:r>
          </w:p>
        </w:tc>
        <w:tc>
          <w:tcPr>
            <w:tcW w:w="677" w:type="dxa"/>
            <w:tcBorders>
              <w:bottom w:val="single" w:sz="4" w:space="0" w:color="auto"/>
            </w:tcBorders>
          </w:tcPr>
          <w:p w14:paraId="567663D7" w14:textId="77777777" w:rsidR="00F31BDB" w:rsidRDefault="00F31BDB" w:rsidP="00602F18">
            <w:pPr>
              <w:jc w:val="center"/>
              <w:rPr>
                <w:sz w:val="22"/>
              </w:rPr>
            </w:pPr>
            <w:r>
              <w:rPr>
                <w:sz w:val="22"/>
              </w:rPr>
              <w:t>N</w:t>
            </w:r>
          </w:p>
        </w:tc>
        <w:tc>
          <w:tcPr>
            <w:tcW w:w="677" w:type="dxa"/>
            <w:tcBorders>
              <w:bottom w:val="single" w:sz="4" w:space="0" w:color="auto"/>
            </w:tcBorders>
          </w:tcPr>
          <w:p w14:paraId="16E11CF4" w14:textId="77777777" w:rsidR="00F31BDB" w:rsidRDefault="00F31BDB" w:rsidP="00602F18">
            <w:pPr>
              <w:jc w:val="center"/>
              <w:rPr>
                <w:sz w:val="22"/>
              </w:rPr>
            </w:pPr>
            <w:r>
              <w:rPr>
                <w:sz w:val="22"/>
              </w:rPr>
              <w:t>N</w:t>
            </w:r>
          </w:p>
        </w:tc>
        <w:tc>
          <w:tcPr>
            <w:tcW w:w="677" w:type="dxa"/>
            <w:tcBorders>
              <w:bottom w:val="single" w:sz="4" w:space="0" w:color="auto"/>
            </w:tcBorders>
          </w:tcPr>
          <w:p w14:paraId="55207B0E" w14:textId="77777777" w:rsidR="00F31BDB" w:rsidRDefault="00F31BDB" w:rsidP="00602F18">
            <w:pPr>
              <w:jc w:val="center"/>
              <w:rPr>
                <w:sz w:val="22"/>
              </w:rPr>
            </w:pPr>
            <w:r>
              <w:rPr>
                <w:sz w:val="22"/>
              </w:rPr>
              <w:t>E</w:t>
            </w:r>
          </w:p>
        </w:tc>
        <w:tc>
          <w:tcPr>
            <w:tcW w:w="677" w:type="dxa"/>
            <w:tcBorders>
              <w:bottom w:val="single" w:sz="4" w:space="0" w:color="auto"/>
            </w:tcBorders>
          </w:tcPr>
          <w:p w14:paraId="5A1DADB0" w14:textId="77777777" w:rsidR="00F31BDB" w:rsidRDefault="00F31BDB" w:rsidP="00602F18">
            <w:pPr>
              <w:jc w:val="center"/>
              <w:rPr>
                <w:sz w:val="22"/>
              </w:rPr>
            </w:pPr>
            <w:r>
              <w:rPr>
                <w:sz w:val="22"/>
              </w:rPr>
              <w:t>N</w:t>
            </w:r>
          </w:p>
        </w:tc>
        <w:tc>
          <w:tcPr>
            <w:tcW w:w="677" w:type="dxa"/>
            <w:tcBorders>
              <w:bottom w:val="single" w:sz="4" w:space="0" w:color="auto"/>
            </w:tcBorders>
          </w:tcPr>
          <w:p w14:paraId="3F9D1E77" w14:textId="77777777" w:rsidR="00F31BDB" w:rsidRDefault="00F31BDB" w:rsidP="00602F18">
            <w:pPr>
              <w:jc w:val="center"/>
              <w:rPr>
                <w:sz w:val="22"/>
              </w:rPr>
            </w:pPr>
            <w:r>
              <w:rPr>
                <w:sz w:val="22"/>
              </w:rPr>
              <w:t>N</w:t>
            </w:r>
          </w:p>
        </w:tc>
      </w:tr>
      <w:tr w:rsidR="00F31BDB" w14:paraId="61E52BB8" w14:textId="77777777" w:rsidTr="00602F18">
        <w:tc>
          <w:tcPr>
            <w:tcW w:w="994" w:type="dxa"/>
            <w:tcBorders>
              <w:bottom w:val="single" w:sz="4" w:space="0" w:color="auto"/>
            </w:tcBorders>
          </w:tcPr>
          <w:p w14:paraId="5766BD10" w14:textId="77777777" w:rsidR="00F31BDB" w:rsidRDefault="00F31BDB" w:rsidP="00602F18">
            <w:pPr>
              <w:rPr>
                <w:sz w:val="22"/>
              </w:rPr>
            </w:pPr>
            <w:r>
              <w:rPr>
                <w:sz w:val="22"/>
              </w:rPr>
              <w:t>4.2.3</w:t>
            </w:r>
          </w:p>
        </w:tc>
        <w:tc>
          <w:tcPr>
            <w:tcW w:w="3542" w:type="dxa"/>
            <w:tcBorders>
              <w:bottom w:val="single" w:sz="4" w:space="0" w:color="auto"/>
            </w:tcBorders>
          </w:tcPr>
          <w:p w14:paraId="1B6FF11F" w14:textId="77777777" w:rsidR="00F31BDB" w:rsidRDefault="00F31BDB" w:rsidP="00602F18">
            <w:pPr>
              <w:rPr>
                <w:sz w:val="22"/>
              </w:rPr>
            </w:pPr>
            <w:r>
              <w:rPr>
                <w:sz w:val="22"/>
              </w:rPr>
              <w:t xml:space="preserve">Manufactured </w:t>
            </w:r>
            <w:smartTag w:uri="urn:schemas-microsoft-com:office:smarttags" w:element="place">
              <w:smartTag w:uri="urn:schemas-microsoft-com:office:smarttags" w:element="PlaceName">
                <w:r>
                  <w:rPr>
                    <w:sz w:val="22"/>
                  </w:rPr>
                  <w:t>Housing</w:t>
                </w:r>
              </w:smartTag>
              <w:r>
                <w:rPr>
                  <w:sz w:val="22"/>
                </w:rPr>
                <w:t xml:space="preserve"> </w:t>
              </w:r>
              <w:smartTag w:uri="urn:schemas-microsoft-com:office:smarttags" w:element="State">
                <w:r>
                  <w:rPr>
                    <w:sz w:val="22"/>
                  </w:rPr>
                  <w:t>Park</w:t>
                </w:r>
              </w:smartTag>
            </w:smartTag>
          </w:p>
        </w:tc>
        <w:tc>
          <w:tcPr>
            <w:tcW w:w="677" w:type="dxa"/>
            <w:tcBorders>
              <w:bottom w:val="single" w:sz="4" w:space="0" w:color="auto"/>
            </w:tcBorders>
          </w:tcPr>
          <w:p w14:paraId="3081F1BA" w14:textId="77777777" w:rsidR="00F31BDB" w:rsidRDefault="00F31BDB" w:rsidP="00602F18">
            <w:pPr>
              <w:jc w:val="center"/>
              <w:rPr>
                <w:sz w:val="22"/>
              </w:rPr>
            </w:pPr>
            <w:r>
              <w:rPr>
                <w:sz w:val="22"/>
              </w:rPr>
              <w:t>Y</w:t>
            </w:r>
          </w:p>
        </w:tc>
        <w:tc>
          <w:tcPr>
            <w:tcW w:w="677" w:type="dxa"/>
            <w:tcBorders>
              <w:bottom w:val="single" w:sz="4" w:space="0" w:color="auto"/>
            </w:tcBorders>
          </w:tcPr>
          <w:p w14:paraId="042340A5" w14:textId="77777777" w:rsidR="00F31BDB" w:rsidRDefault="00F31BDB" w:rsidP="00602F18">
            <w:pPr>
              <w:jc w:val="center"/>
              <w:rPr>
                <w:sz w:val="22"/>
              </w:rPr>
            </w:pPr>
            <w:r>
              <w:rPr>
                <w:sz w:val="22"/>
              </w:rPr>
              <w:t>N</w:t>
            </w:r>
          </w:p>
        </w:tc>
        <w:tc>
          <w:tcPr>
            <w:tcW w:w="677" w:type="dxa"/>
            <w:tcBorders>
              <w:bottom w:val="single" w:sz="4" w:space="0" w:color="auto"/>
            </w:tcBorders>
          </w:tcPr>
          <w:p w14:paraId="5773A5C6" w14:textId="77777777" w:rsidR="00F31BDB" w:rsidRDefault="00F31BDB" w:rsidP="00602F18">
            <w:pPr>
              <w:jc w:val="center"/>
              <w:rPr>
                <w:sz w:val="22"/>
              </w:rPr>
            </w:pPr>
            <w:r>
              <w:rPr>
                <w:sz w:val="22"/>
              </w:rPr>
              <w:t>Y</w:t>
            </w:r>
          </w:p>
        </w:tc>
        <w:tc>
          <w:tcPr>
            <w:tcW w:w="677" w:type="dxa"/>
            <w:tcBorders>
              <w:bottom w:val="single" w:sz="4" w:space="0" w:color="auto"/>
            </w:tcBorders>
          </w:tcPr>
          <w:p w14:paraId="0AAB80BD" w14:textId="77777777" w:rsidR="00F31BDB" w:rsidRDefault="00F31BDB" w:rsidP="00602F18">
            <w:pPr>
              <w:jc w:val="center"/>
              <w:rPr>
                <w:sz w:val="22"/>
              </w:rPr>
            </w:pPr>
            <w:r>
              <w:rPr>
                <w:sz w:val="22"/>
              </w:rPr>
              <w:t>N</w:t>
            </w:r>
          </w:p>
        </w:tc>
        <w:tc>
          <w:tcPr>
            <w:tcW w:w="677" w:type="dxa"/>
            <w:tcBorders>
              <w:bottom w:val="single" w:sz="4" w:space="0" w:color="auto"/>
            </w:tcBorders>
          </w:tcPr>
          <w:p w14:paraId="70768409" w14:textId="77777777" w:rsidR="00F31BDB" w:rsidRDefault="00F31BDB" w:rsidP="00602F18">
            <w:pPr>
              <w:jc w:val="center"/>
              <w:rPr>
                <w:sz w:val="22"/>
              </w:rPr>
            </w:pPr>
            <w:r>
              <w:rPr>
                <w:sz w:val="22"/>
              </w:rPr>
              <w:t>N</w:t>
            </w:r>
          </w:p>
        </w:tc>
        <w:tc>
          <w:tcPr>
            <w:tcW w:w="677" w:type="dxa"/>
            <w:tcBorders>
              <w:bottom w:val="single" w:sz="4" w:space="0" w:color="auto"/>
            </w:tcBorders>
          </w:tcPr>
          <w:p w14:paraId="0DB44203" w14:textId="77777777" w:rsidR="00F31BDB" w:rsidRDefault="00F31BDB" w:rsidP="00602F18">
            <w:pPr>
              <w:jc w:val="center"/>
              <w:rPr>
                <w:sz w:val="22"/>
              </w:rPr>
            </w:pPr>
            <w:r>
              <w:rPr>
                <w:sz w:val="22"/>
              </w:rPr>
              <w:t>N</w:t>
            </w:r>
          </w:p>
        </w:tc>
        <w:tc>
          <w:tcPr>
            <w:tcW w:w="677" w:type="dxa"/>
            <w:tcBorders>
              <w:bottom w:val="single" w:sz="4" w:space="0" w:color="auto"/>
            </w:tcBorders>
          </w:tcPr>
          <w:p w14:paraId="57552091" w14:textId="77777777" w:rsidR="00F31BDB" w:rsidRDefault="00F31BDB" w:rsidP="00602F18">
            <w:pPr>
              <w:jc w:val="center"/>
              <w:rPr>
                <w:sz w:val="22"/>
              </w:rPr>
            </w:pPr>
            <w:r>
              <w:rPr>
                <w:sz w:val="22"/>
              </w:rPr>
              <w:t>N</w:t>
            </w:r>
          </w:p>
        </w:tc>
        <w:tc>
          <w:tcPr>
            <w:tcW w:w="677" w:type="dxa"/>
            <w:tcBorders>
              <w:bottom w:val="single" w:sz="4" w:space="0" w:color="auto"/>
            </w:tcBorders>
          </w:tcPr>
          <w:p w14:paraId="77CF2C58" w14:textId="77777777" w:rsidR="00F31BDB" w:rsidRDefault="00F31BDB" w:rsidP="00602F18">
            <w:pPr>
              <w:jc w:val="center"/>
              <w:rPr>
                <w:sz w:val="22"/>
              </w:rPr>
            </w:pPr>
            <w:r>
              <w:rPr>
                <w:sz w:val="22"/>
              </w:rPr>
              <w:t>N</w:t>
            </w:r>
          </w:p>
        </w:tc>
      </w:tr>
      <w:tr w:rsidR="00F31BDB" w14:paraId="6A457E97" w14:textId="77777777" w:rsidTr="00602F18">
        <w:tc>
          <w:tcPr>
            <w:tcW w:w="994" w:type="dxa"/>
          </w:tcPr>
          <w:p w14:paraId="2FCB2682" w14:textId="77777777" w:rsidR="00F31BDB" w:rsidRDefault="00F31BDB" w:rsidP="00602F18">
            <w:pPr>
              <w:rPr>
                <w:sz w:val="22"/>
              </w:rPr>
            </w:pPr>
            <w:r>
              <w:rPr>
                <w:sz w:val="22"/>
              </w:rPr>
              <w:t>4.2.4</w:t>
            </w:r>
          </w:p>
        </w:tc>
        <w:tc>
          <w:tcPr>
            <w:tcW w:w="3542" w:type="dxa"/>
          </w:tcPr>
          <w:p w14:paraId="1F911BF3" w14:textId="77777777" w:rsidR="00F31BDB" w:rsidRDefault="00F31BDB" w:rsidP="00602F18">
            <w:pPr>
              <w:rPr>
                <w:sz w:val="22"/>
              </w:rPr>
            </w:pPr>
            <w:r>
              <w:rPr>
                <w:sz w:val="22"/>
              </w:rPr>
              <w:t>Manufactured Housing Subdivision</w:t>
            </w:r>
          </w:p>
        </w:tc>
        <w:tc>
          <w:tcPr>
            <w:tcW w:w="677" w:type="dxa"/>
          </w:tcPr>
          <w:p w14:paraId="1CEA0123" w14:textId="77777777" w:rsidR="00F31BDB" w:rsidRDefault="00F31BDB" w:rsidP="00602F18">
            <w:pPr>
              <w:jc w:val="center"/>
              <w:rPr>
                <w:sz w:val="22"/>
              </w:rPr>
            </w:pPr>
            <w:r>
              <w:rPr>
                <w:sz w:val="22"/>
              </w:rPr>
              <w:t>Y</w:t>
            </w:r>
          </w:p>
        </w:tc>
        <w:tc>
          <w:tcPr>
            <w:tcW w:w="677" w:type="dxa"/>
          </w:tcPr>
          <w:p w14:paraId="583A569B" w14:textId="77777777" w:rsidR="00F31BDB" w:rsidRDefault="00F31BDB" w:rsidP="00602F18">
            <w:pPr>
              <w:jc w:val="center"/>
              <w:rPr>
                <w:sz w:val="22"/>
              </w:rPr>
            </w:pPr>
            <w:r>
              <w:rPr>
                <w:sz w:val="22"/>
              </w:rPr>
              <w:t>N</w:t>
            </w:r>
          </w:p>
        </w:tc>
        <w:tc>
          <w:tcPr>
            <w:tcW w:w="677" w:type="dxa"/>
          </w:tcPr>
          <w:p w14:paraId="51196FAB" w14:textId="77777777" w:rsidR="00F31BDB" w:rsidRDefault="00F31BDB" w:rsidP="00602F18">
            <w:pPr>
              <w:jc w:val="center"/>
              <w:rPr>
                <w:sz w:val="22"/>
              </w:rPr>
            </w:pPr>
            <w:r>
              <w:rPr>
                <w:sz w:val="22"/>
              </w:rPr>
              <w:t>Y</w:t>
            </w:r>
          </w:p>
        </w:tc>
        <w:tc>
          <w:tcPr>
            <w:tcW w:w="677" w:type="dxa"/>
          </w:tcPr>
          <w:p w14:paraId="57DDDA85" w14:textId="77777777" w:rsidR="00F31BDB" w:rsidRDefault="00F31BDB" w:rsidP="00602F18">
            <w:pPr>
              <w:jc w:val="center"/>
              <w:rPr>
                <w:sz w:val="22"/>
              </w:rPr>
            </w:pPr>
            <w:r>
              <w:rPr>
                <w:sz w:val="22"/>
              </w:rPr>
              <w:t>N</w:t>
            </w:r>
          </w:p>
        </w:tc>
        <w:tc>
          <w:tcPr>
            <w:tcW w:w="677" w:type="dxa"/>
          </w:tcPr>
          <w:p w14:paraId="751513A1" w14:textId="77777777" w:rsidR="00F31BDB" w:rsidRDefault="00F31BDB" w:rsidP="00602F18">
            <w:pPr>
              <w:jc w:val="center"/>
              <w:rPr>
                <w:sz w:val="22"/>
              </w:rPr>
            </w:pPr>
            <w:r>
              <w:rPr>
                <w:sz w:val="22"/>
              </w:rPr>
              <w:t>N</w:t>
            </w:r>
          </w:p>
        </w:tc>
        <w:tc>
          <w:tcPr>
            <w:tcW w:w="677" w:type="dxa"/>
          </w:tcPr>
          <w:p w14:paraId="449EF63B" w14:textId="77777777" w:rsidR="00F31BDB" w:rsidRDefault="00F31BDB" w:rsidP="00602F18">
            <w:pPr>
              <w:jc w:val="center"/>
              <w:rPr>
                <w:sz w:val="22"/>
              </w:rPr>
            </w:pPr>
            <w:r>
              <w:rPr>
                <w:sz w:val="22"/>
              </w:rPr>
              <w:t>N</w:t>
            </w:r>
          </w:p>
        </w:tc>
        <w:tc>
          <w:tcPr>
            <w:tcW w:w="677" w:type="dxa"/>
          </w:tcPr>
          <w:p w14:paraId="21592142" w14:textId="77777777" w:rsidR="00F31BDB" w:rsidRDefault="00F31BDB" w:rsidP="00602F18">
            <w:pPr>
              <w:jc w:val="center"/>
              <w:rPr>
                <w:sz w:val="22"/>
              </w:rPr>
            </w:pPr>
            <w:r>
              <w:rPr>
                <w:sz w:val="22"/>
              </w:rPr>
              <w:t>N</w:t>
            </w:r>
          </w:p>
        </w:tc>
        <w:tc>
          <w:tcPr>
            <w:tcW w:w="677" w:type="dxa"/>
          </w:tcPr>
          <w:p w14:paraId="735DA30F" w14:textId="77777777" w:rsidR="00F31BDB" w:rsidRDefault="00F31BDB" w:rsidP="00602F18">
            <w:pPr>
              <w:jc w:val="center"/>
              <w:rPr>
                <w:sz w:val="22"/>
              </w:rPr>
            </w:pPr>
            <w:r>
              <w:rPr>
                <w:sz w:val="22"/>
              </w:rPr>
              <w:t>N</w:t>
            </w:r>
          </w:p>
        </w:tc>
      </w:tr>
      <w:tr w:rsidR="00F31BDB" w14:paraId="71738305" w14:textId="77777777" w:rsidTr="00602F18">
        <w:tc>
          <w:tcPr>
            <w:tcW w:w="994" w:type="dxa"/>
          </w:tcPr>
          <w:p w14:paraId="071668B6" w14:textId="77777777" w:rsidR="00F31BDB" w:rsidRDefault="00F31BDB" w:rsidP="00602F18">
            <w:pPr>
              <w:rPr>
                <w:sz w:val="22"/>
              </w:rPr>
            </w:pPr>
            <w:r>
              <w:rPr>
                <w:sz w:val="22"/>
              </w:rPr>
              <w:t>4.2.5</w:t>
            </w:r>
          </w:p>
        </w:tc>
        <w:tc>
          <w:tcPr>
            <w:tcW w:w="3542" w:type="dxa"/>
          </w:tcPr>
          <w:p w14:paraId="01BBB948" w14:textId="77777777" w:rsidR="00F31BDB" w:rsidRDefault="00F31BDB" w:rsidP="00602F18">
            <w:pPr>
              <w:rPr>
                <w:sz w:val="22"/>
              </w:rPr>
            </w:pPr>
            <w:r>
              <w:rPr>
                <w:sz w:val="22"/>
              </w:rPr>
              <w:t>Planned Unit Development</w:t>
            </w:r>
          </w:p>
        </w:tc>
        <w:tc>
          <w:tcPr>
            <w:tcW w:w="677" w:type="dxa"/>
          </w:tcPr>
          <w:p w14:paraId="19BFA440" w14:textId="77777777" w:rsidR="00F31BDB" w:rsidRDefault="00F31BDB" w:rsidP="00602F18">
            <w:pPr>
              <w:jc w:val="center"/>
              <w:rPr>
                <w:sz w:val="22"/>
              </w:rPr>
            </w:pPr>
            <w:r>
              <w:rPr>
                <w:sz w:val="22"/>
              </w:rPr>
              <w:t>N</w:t>
            </w:r>
          </w:p>
        </w:tc>
        <w:tc>
          <w:tcPr>
            <w:tcW w:w="677" w:type="dxa"/>
          </w:tcPr>
          <w:p w14:paraId="680CDB5B" w14:textId="77777777" w:rsidR="00F31BDB" w:rsidRDefault="00F31BDB" w:rsidP="00602F18">
            <w:pPr>
              <w:jc w:val="center"/>
              <w:rPr>
                <w:sz w:val="22"/>
              </w:rPr>
            </w:pPr>
            <w:r>
              <w:rPr>
                <w:sz w:val="22"/>
              </w:rPr>
              <w:t>N</w:t>
            </w:r>
          </w:p>
        </w:tc>
        <w:tc>
          <w:tcPr>
            <w:tcW w:w="677" w:type="dxa"/>
          </w:tcPr>
          <w:p w14:paraId="50481410" w14:textId="77777777" w:rsidR="00F31BDB" w:rsidRDefault="00F31BDB" w:rsidP="00602F18">
            <w:pPr>
              <w:jc w:val="center"/>
              <w:rPr>
                <w:sz w:val="22"/>
              </w:rPr>
            </w:pPr>
            <w:r>
              <w:rPr>
                <w:sz w:val="22"/>
              </w:rPr>
              <w:t>E</w:t>
            </w:r>
          </w:p>
        </w:tc>
        <w:tc>
          <w:tcPr>
            <w:tcW w:w="677" w:type="dxa"/>
          </w:tcPr>
          <w:p w14:paraId="78369A20" w14:textId="77777777" w:rsidR="00F31BDB" w:rsidRDefault="00F31BDB" w:rsidP="00602F18">
            <w:pPr>
              <w:jc w:val="center"/>
              <w:rPr>
                <w:sz w:val="22"/>
              </w:rPr>
            </w:pPr>
            <w:r>
              <w:rPr>
                <w:sz w:val="22"/>
              </w:rPr>
              <w:t>N</w:t>
            </w:r>
          </w:p>
        </w:tc>
        <w:tc>
          <w:tcPr>
            <w:tcW w:w="677" w:type="dxa"/>
          </w:tcPr>
          <w:p w14:paraId="61C3C88A" w14:textId="77777777" w:rsidR="00F31BDB" w:rsidRDefault="00F31BDB" w:rsidP="00602F18">
            <w:pPr>
              <w:jc w:val="center"/>
              <w:rPr>
                <w:sz w:val="22"/>
              </w:rPr>
            </w:pPr>
            <w:r>
              <w:rPr>
                <w:sz w:val="22"/>
              </w:rPr>
              <w:t>N</w:t>
            </w:r>
          </w:p>
        </w:tc>
        <w:tc>
          <w:tcPr>
            <w:tcW w:w="677" w:type="dxa"/>
          </w:tcPr>
          <w:p w14:paraId="2EF14D58" w14:textId="77777777" w:rsidR="00F31BDB" w:rsidRDefault="00F31BDB" w:rsidP="00602F18">
            <w:pPr>
              <w:jc w:val="center"/>
              <w:rPr>
                <w:sz w:val="22"/>
              </w:rPr>
            </w:pPr>
            <w:r>
              <w:rPr>
                <w:sz w:val="22"/>
              </w:rPr>
              <w:t>E</w:t>
            </w:r>
          </w:p>
        </w:tc>
        <w:tc>
          <w:tcPr>
            <w:tcW w:w="677" w:type="dxa"/>
          </w:tcPr>
          <w:p w14:paraId="7A31026E" w14:textId="77777777" w:rsidR="00F31BDB" w:rsidRDefault="00F31BDB" w:rsidP="00602F18">
            <w:pPr>
              <w:jc w:val="center"/>
              <w:rPr>
                <w:sz w:val="22"/>
              </w:rPr>
            </w:pPr>
            <w:r>
              <w:rPr>
                <w:sz w:val="22"/>
              </w:rPr>
              <w:t>N</w:t>
            </w:r>
          </w:p>
        </w:tc>
        <w:tc>
          <w:tcPr>
            <w:tcW w:w="677" w:type="dxa"/>
          </w:tcPr>
          <w:p w14:paraId="45373185" w14:textId="77777777" w:rsidR="00F31BDB" w:rsidRDefault="00F31BDB" w:rsidP="00602F18">
            <w:pPr>
              <w:jc w:val="center"/>
              <w:rPr>
                <w:sz w:val="22"/>
              </w:rPr>
            </w:pPr>
            <w:r>
              <w:rPr>
                <w:sz w:val="22"/>
              </w:rPr>
              <w:t>N</w:t>
            </w:r>
          </w:p>
        </w:tc>
      </w:tr>
      <w:tr w:rsidR="00F31BDB" w14:paraId="7D0EA421" w14:textId="77777777" w:rsidTr="00602F18">
        <w:tc>
          <w:tcPr>
            <w:tcW w:w="994" w:type="dxa"/>
          </w:tcPr>
          <w:p w14:paraId="7776507F" w14:textId="77777777" w:rsidR="00F31BDB" w:rsidRDefault="00F31BDB" w:rsidP="00602F18">
            <w:pPr>
              <w:rPr>
                <w:sz w:val="22"/>
              </w:rPr>
            </w:pPr>
            <w:r>
              <w:rPr>
                <w:sz w:val="22"/>
              </w:rPr>
              <w:t>4.2.6</w:t>
            </w:r>
          </w:p>
        </w:tc>
        <w:tc>
          <w:tcPr>
            <w:tcW w:w="3542" w:type="dxa"/>
          </w:tcPr>
          <w:p w14:paraId="10FB17BE" w14:textId="77777777" w:rsidR="00F31BDB" w:rsidRDefault="00F31BDB" w:rsidP="00602F18">
            <w:pPr>
              <w:rPr>
                <w:sz w:val="22"/>
              </w:rPr>
            </w:pPr>
            <w:r>
              <w:rPr>
                <w:sz w:val="22"/>
              </w:rPr>
              <w:t>Single-Family Residence</w:t>
            </w:r>
          </w:p>
        </w:tc>
        <w:tc>
          <w:tcPr>
            <w:tcW w:w="677" w:type="dxa"/>
          </w:tcPr>
          <w:p w14:paraId="0BCA9464" w14:textId="77777777" w:rsidR="00F31BDB" w:rsidRDefault="00F31BDB" w:rsidP="00602F18">
            <w:pPr>
              <w:jc w:val="center"/>
              <w:rPr>
                <w:sz w:val="22"/>
              </w:rPr>
            </w:pPr>
            <w:r>
              <w:rPr>
                <w:sz w:val="22"/>
              </w:rPr>
              <w:t>Y</w:t>
            </w:r>
          </w:p>
        </w:tc>
        <w:tc>
          <w:tcPr>
            <w:tcW w:w="677" w:type="dxa"/>
          </w:tcPr>
          <w:p w14:paraId="75AB74ED" w14:textId="77777777" w:rsidR="00F31BDB" w:rsidRDefault="00F31BDB" w:rsidP="00602F18">
            <w:pPr>
              <w:jc w:val="center"/>
              <w:rPr>
                <w:sz w:val="22"/>
              </w:rPr>
            </w:pPr>
            <w:r>
              <w:rPr>
                <w:sz w:val="22"/>
              </w:rPr>
              <w:t>Y</w:t>
            </w:r>
          </w:p>
        </w:tc>
        <w:tc>
          <w:tcPr>
            <w:tcW w:w="677" w:type="dxa"/>
          </w:tcPr>
          <w:p w14:paraId="4DB19591" w14:textId="77777777" w:rsidR="00F31BDB" w:rsidRDefault="00F31BDB" w:rsidP="00602F18">
            <w:pPr>
              <w:jc w:val="center"/>
              <w:rPr>
                <w:sz w:val="22"/>
              </w:rPr>
            </w:pPr>
            <w:r>
              <w:rPr>
                <w:sz w:val="22"/>
              </w:rPr>
              <w:t>Y</w:t>
            </w:r>
          </w:p>
        </w:tc>
        <w:tc>
          <w:tcPr>
            <w:tcW w:w="677" w:type="dxa"/>
          </w:tcPr>
          <w:p w14:paraId="30C3C40D" w14:textId="77777777" w:rsidR="00F31BDB" w:rsidRDefault="00F31BDB" w:rsidP="00602F18">
            <w:pPr>
              <w:jc w:val="center"/>
              <w:rPr>
                <w:sz w:val="22"/>
              </w:rPr>
            </w:pPr>
            <w:r>
              <w:rPr>
                <w:sz w:val="22"/>
              </w:rPr>
              <w:t>Y</w:t>
            </w:r>
          </w:p>
        </w:tc>
        <w:tc>
          <w:tcPr>
            <w:tcW w:w="677" w:type="dxa"/>
          </w:tcPr>
          <w:p w14:paraId="61450189" w14:textId="77777777" w:rsidR="00F31BDB" w:rsidRDefault="00F31BDB" w:rsidP="00602F18">
            <w:pPr>
              <w:jc w:val="center"/>
              <w:rPr>
                <w:sz w:val="22"/>
              </w:rPr>
            </w:pPr>
            <w:r>
              <w:rPr>
                <w:sz w:val="22"/>
              </w:rPr>
              <w:t>E</w:t>
            </w:r>
          </w:p>
        </w:tc>
        <w:tc>
          <w:tcPr>
            <w:tcW w:w="677" w:type="dxa"/>
          </w:tcPr>
          <w:p w14:paraId="2F58C44E" w14:textId="77777777" w:rsidR="00F31BDB" w:rsidRDefault="00F31BDB" w:rsidP="00602F18">
            <w:pPr>
              <w:jc w:val="center"/>
              <w:rPr>
                <w:sz w:val="22"/>
              </w:rPr>
            </w:pPr>
            <w:r>
              <w:rPr>
                <w:sz w:val="22"/>
              </w:rPr>
              <w:t>Y</w:t>
            </w:r>
          </w:p>
        </w:tc>
        <w:tc>
          <w:tcPr>
            <w:tcW w:w="677" w:type="dxa"/>
          </w:tcPr>
          <w:p w14:paraId="7B6FAE83" w14:textId="77777777" w:rsidR="00F31BDB" w:rsidRDefault="00F31BDB" w:rsidP="00602F18">
            <w:pPr>
              <w:jc w:val="center"/>
              <w:rPr>
                <w:sz w:val="22"/>
              </w:rPr>
            </w:pPr>
            <w:r>
              <w:rPr>
                <w:sz w:val="22"/>
              </w:rPr>
              <w:t>N</w:t>
            </w:r>
          </w:p>
        </w:tc>
        <w:tc>
          <w:tcPr>
            <w:tcW w:w="677" w:type="dxa"/>
          </w:tcPr>
          <w:p w14:paraId="0686D10D" w14:textId="77777777" w:rsidR="00F31BDB" w:rsidRDefault="00F31BDB" w:rsidP="00602F18">
            <w:pPr>
              <w:jc w:val="center"/>
              <w:rPr>
                <w:sz w:val="22"/>
              </w:rPr>
            </w:pPr>
            <w:r>
              <w:rPr>
                <w:sz w:val="22"/>
              </w:rPr>
              <w:t>N</w:t>
            </w:r>
          </w:p>
        </w:tc>
      </w:tr>
      <w:tr w:rsidR="00F31BDB" w14:paraId="7B7F5644" w14:textId="77777777" w:rsidTr="00602F18">
        <w:tc>
          <w:tcPr>
            <w:tcW w:w="994" w:type="dxa"/>
          </w:tcPr>
          <w:p w14:paraId="35BB7FF9" w14:textId="77777777" w:rsidR="00F31BDB" w:rsidRDefault="00F31BDB" w:rsidP="00602F18">
            <w:pPr>
              <w:rPr>
                <w:sz w:val="22"/>
              </w:rPr>
            </w:pPr>
            <w:r>
              <w:rPr>
                <w:sz w:val="22"/>
              </w:rPr>
              <w:t>4.2.7</w:t>
            </w:r>
          </w:p>
        </w:tc>
        <w:tc>
          <w:tcPr>
            <w:tcW w:w="3542" w:type="dxa"/>
          </w:tcPr>
          <w:p w14:paraId="75294234" w14:textId="77777777" w:rsidR="00F31BDB" w:rsidRDefault="00F31BDB" w:rsidP="00602F18">
            <w:pPr>
              <w:rPr>
                <w:sz w:val="22"/>
              </w:rPr>
            </w:pPr>
            <w:r>
              <w:rPr>
                <w:sz w:val="22"/>
              </w:rPr>
              <w:t>Two-Family Residence</w:t>
            </w:r>
          </w:p>
        </w:tc>
        <w:tc>
          <w:tcPr>
            <w:tcW w:w="677" w:type="dxa"/>
          </w:tcPr>
          <w:p w14:paraId="4ADDC16C" w14:textId="77777777" w:rsidR="00F31BDB" w:rsidRDefault="00F31BDB" w:rsidP="00602F18">
            <w:pPr>
              <w:jc w:val="center"/>
              <w:rPr>
                <w:sz w:val="22"/>
              </w:rPr>
            </w:pPr>
            <w:r>
              <w:rPr>
                <w:sz w:val="22"/>
              </w:rPr>
              <w:t>Y</w:t>
            </w:r>
          </w:p>
        </w:tc>
        <w:tc>
          <w:tcPr>
            <w:tcW w:w="677" w:type="dxa"/>
          </w:tcPr>
          <w:p w14:paraId="385221E1" w14:textId="77777777" w:rsidR="00F31BDB" w:rsidRDefault="00F31BDB" w:rsidP="00602F18">
            <w:pPr>
              <w:jc w:val="center"/>
              <w:rPr>
                <w:sz w:val="22"/>
              </w:rPr>
            </w:pPr>
            <w:r>
              <w:rPr>
                <w:sz w:val="22"/>
              </w:rPr>
              <w:t>E</w:t>
            </w:r>
          </w:p>
        </w:tc>
        <w:tc>
          <w:tcPr>
            <w:tcW w:w="677" w:type="dxa"/>
          </w:tcPr>
          <w:p w14:paraId="41EA7FD1" w14:textId="77777777" w:rsidR="00F31BDB" w:rsidRDefault="00F31BDB" w:rsidP="00602F18">
            <w:pPr>
              <w:jc w:val="center"/>
              <w:rPr>
                <w:sz w:val="22"/>
              </w:rPr>
            </w:pPr>
            <w:r>
              <w:rPr>
                <w:sz w:val="22"/>
              </w:rPr>
              <w:t>Y</w:t>
            </w:r>
          </w:p>
        </w:tc>
        <w:tc>
          <w:tcPr>
            <w:tcW w:w="677" w:type="dxa"/>
          </w:tcPr>
          <w:p w14:paraId="5C364EEA" w14:textId="77777777" w:rsidR="00F31BDB" w:rsidRDefault="00F31BDB" w:rsidP="00602F18">
            <w:pPr>
              <w:jc w:val="center"/>
              <w:rPr>
                <w:sz w:val="22"/>
              </w:rPr>
            </w:pPr>
            <w:r>
              <w:rPr>
                <w:sz w:val="22"/>
              </w:rPr>
              <w:t>E</w:t>
            </w:r>
          </w:p>
        </w:tc>
        <w:tc>
          <w:tcPr>
            <w:tcW w:w="677" w:type="dxa"/>
          </w:tcPr>
          <w:p w14:paraId="2A7E469E" w14:textId="77777777" w:rsidR="00F31BDB" w:rsidRDefault="00F31BDB" w:rsidP="00602F18">
            <w:pPr>
              <w:jc w:val="center"/>
              <w:rPr>
                <w:sz w:val="22"/>
              </w:rPr>
            </w:pPr>
            <w:r>
              <w:rPr>
                <w:sz w:val="22"/>
              </w:rPr>
              <w:t>E</w:t>
            </w:r>
          </w:p>
        </w:tc>
        <w:tc>
          <w:tcPr>
            <w:tcW w:w="677" w:type="dxa"/>
          </w:tcPr>
          <w:p w14:paraId="4967EC8C" w14:textId="77777777" w:rsidR="00F31BDB" w:rsidRDefault="00F31BDB" w:rsidP="00602F18">
            <w:pPr>
              <w:jc w:val="center"/>
              <w:rPr>
                <w:sz w:val="22"/>
              </w:rPr>
            </w:pPr>
            <w:r>
              <w:rPr>
                <w:sz w:val="22"/>
              </w:rPr>
              <w:t>Y</w:t>
            </w:r>
          </w:p>
        </w:tc>
        <w:tc>
          <w:tcPr>
            <w:tcW w:w="677" w:type="dxa"/>
          </w:tcPr>
          <w:p w14:paraId="32EA85D6" w14:textId="77777777" w:rsidR="00F31BDB" w:rsidRDefault="00F31BDB" w:rsidP="00602F18">
            <w:pPr>
              <w:jc w:val="center"/>
              <w:rPr>
                <w:sz w:val="22"/>
              </w:rPr>
            </w:pPr>
            <w:r>
              <w:rPr>
                <w:sz w:val="22"/>
              </w:rPr>
              <w:t>N</w:t>
            </w:r>
          </w:p>
        </w:tc>
        <w:tc>
          <w:tcPr>
            <w:tcW w:w="677" w:type="dxa"/>
          </w:tcPr>
          <w:p w14:paraId="6A1D2773" w14:textId="77777777" w:rsidR="00F31BDB" w:rsidRDefault="00F31BDB" w:rsidP="00602F18">
            <w:pPr>
              <w:jc w:val="center"/>
              <w:rPr>
                <w:sz w:val="22"/>
              </w:rPr>
            </w:pPr>
            <w:r>
              <w:rPr>
                <w:sz w:val="22"/>
              </w:rPr>
              <w:t>N</w:t>
            </w:r>
          </w:p>
        </w:tc>
      </w:tr>
      <w:tr w:rsidR="00F31BDB" w14:paraId="391AB4B9" w14:textId="77777777" w:rsidTr="00602F18">
        <w:tc>
          <w:tcPr>
            <w:tcW w:w="994" w:type="dxa"/>
          </w:tcPr>
          <w:p w14:paraId="5F1D79B2" w14:textId="77777777" w:rsidR="00F31BDB" w:rsidRDefault="00F31BDB" w:rsidP="00602F18">
            <w:pPr>
              <w:rPr>
                <w:sz w:val="22"/>
              </w:rPr>
            </w:pPr>
            <w:r>
              <w:rPr>
                <w:sz w:val="22"/>
              </w:rPr>
              <w:t>4.2.8</w:t>
            </w:r>
          </w:p>
        </w:tc>
        <w:tc>
          <w:tcPr>
            <w:tcW w:w="3542" w:type="dxa"/>
          </w:tcPr>
          <w:p w14:paraId="08D27969" w14:textId="77777777" w:rsidR="00F31BDB" w:rsidRDefault="00F31BDB" w:rsidP="00602F18">
            <w:pPr>
              <w:rPr>
                <w:sz w:val="22"/>
              </w:rPr>
            </w:pPr>
            <w:r>
              <w:rPr>
                <w:sz w:val="22"/>
              </w:rPr>
              <w:t>Multi-Family Development</w:t>
            </w:r>
          </w:p>
        </w:tc>
        <w:tc>
          <w:tcPr>
            <w:tcW w:w="677" w:type="dxa"/>
          </w:tcPr>
          <w:p w14:paraId="0D885929" w14:textId="77777777" w:rsidR="00F31BDB" w:rsidRDefault="00F31BDB" w:rsidP="00602F18">
            <w:pPr>
              <w:jc w:val="center"/>
              <w:rPr>
                <w:sz w:val="22"/>
              </w:rPr>
            </w:pPr>
            <w:r>
              <w:rPr>
                <w:sz w:val="22"/>
              </w:rPr>
              <w:t>N</w:t>
            </w:r>
          </w:p>
        </w:tc>
        <w:tc>
          <w:tcPr>
            <w:tcW w:w="677" w:type="dxa"/>
          </w:tcPr>
          <w:p w14:paraId="42D12D38" w14:textId="77777777" w:rsidR="00F31BDB" w:rsidRDefault="00F31BDB" w:rsidP="00602F18">
            <w:pPr>
              <w:jc w:val="center"/>
              <w:rPr>
                <w:sz w:val="22"/>
              </w:rPr>
            </w:pPr>
            <w:r>
              <w:rPr>
                <w:sz w:val="22"/>
              </w:rPr>
              <w:t>N</w:t>
            </w:r>
          </w:p>
        </w:tc>
        <w:tc>
          <w:tcPr>
            <w:tcW w:w="677" w:type="dxa"/>
          </w:tcPr>
          <w:p w14:paraId="6DC0A771" w14:textId="77777777" w:rsidR="00F31BDB" w:rsidRDefault="00F31BDB" w:rsidP="00602F18">
            <w:pPr>
              <w:jc w:val="center"/>
              <w:rPr>
                <w:sz w:val="22"/>
              </w:rPr>
            </w:pPr>
            <w:r>
              <w:rPr>
                <w:sz w:val="22"/>
              </w:rPr>
              <w:t>E</w:t>
            </w:r>
          </w:p>
        </w:tc>
        <w:tc>
          <w:tcPr>
            <w:tcW w:w="677" w:type="dxa"/>
          </w:tcPr>
          <w:p w14:paraId="12E47BAF" w14:textId="77777777" w:rsidR="00F31BDB" w:rsidRDefault="00F31BDB" w:rsidP="00602F18">
            <w:pPr>
              <w:jc w:val="center"/>
              <w:rPr>
                <w:sz w:val="22"/>
              </w:rPr>
            </w:pPr>
            <w:r>
              <w:rPr>
                <w:sz w:val="22"/>
              </w:rPr>
              <w:t>N</w:t>
            </w:r>
          </w:p>
        </w:tc>
        <w:tc>
          <w:tcPr>
            <w:tcW w:w="677" w:type="dxa"/>
          </w:tcPr>
          <w:p w14:paraId="6269B620" w14:textId="77777777" w:rsidR="00F31BDB" w:rsidRDefault="00F31BDB" w:rsidP="00602F18">
            <w:pPr>
              <w:jc w:val="center"/>
              <w:rPr>
                <w:sz w:val="22"/>
              </w:rPr>
            </w:pPr>
            <w:r>
              <w:rPr>
                <w:sz w:val="22"/>
              </w:rPr>
              <w:t>N</w:t>
            </w:r>
          </w:p>
        </w:tc>
        <w:tc>
          <w:tcPr>
            <w:tcW w:w="677" w:type="dxa"/>
          </w:tcPr>
          <w:p w14:paraId="0C7CC364" w14:textId="77777777" w:rsidR="00F31BDB" w:rsidRDefault="00F31BDB" w:rsidP="00602F18">
            <w:pPr>
              <w:jc w:val="center"/>
              <w:rPr>
                <w:sz w:val="22"/>
              </w:rPr>
            </w:pPr>
            <w:r>
              <w:rPr>
                <w:sz w:val="22"/>
              </w:rPr>
              <w:t>E</w:t>
            </w:r>
          </w:p>
        </w:tc>
        <w:tc>
          <w:tcPr>
            <w:tcW w:w="677" w:type="dxa"/>
          </w:tcPr>
          <w:p w14:paraId="29609E09" w14:textId="77777777" w:rsidR="00F31BDB" w:rsidRDefault="00F31BDB" w:rsidP="00602F18">
            <w:pPr>
              <w:jc w:val="center"/>
              <w:rPr>
                <w:sz w:val="22"/>
              </w:rPr>
            </w:pPr>
            <w:r>
              <w:rPr>
                <w:sz w:val="22"/>
              </w:rPr>
              <w:t>N</w:t>
            </w:r>
          </w:p>
        </w:tc>
        <w:tc>
          <w:tcPr>
            <w:tcW w:w="677" w:type="dxa"/>
          </w:tcPr>
          <w:p w14:paraId="7A9B766A" w14:textId="77777777" w:rsidR="00F31BDB" w:rsidRDefault="00F31BDB" w:rsidP="00602F18">
            <w:pPr>
              <w:jc w:val="center"/>
              <w:rPr>
                <w:sz w:val="22"/>
              </w:rPr>
            </w:pPr>
            <w:r>
              <w:rPr>
                <w:sz w:val="22"/>
              </w:rPr>
              <w:t>N</w:t>
            </w:r>
          </w:p>
        </w:tc>
      </w:tr>
      <w:tr w:rsidR="00F31BDB" w14:paraId="332BA62D" w14:textId="77777777" w:rsidTr="00602F18">
        <w:tc>
          <w:tcPr>
            <w:tcW w:w="994" w:type="dxa"/>
          </w:tcPr>
          <w:p w14:paraId="5093EC8E" w14:textId="77777777" w:rsidR="00F31BDB" w:rsidRDefault="00F31BDB" w:rsidP="00602F18">
            <w:pPr>
              <w:rPr>
                <w:sz w:val="22"/>
              </w:rPr>
            </w:pPr>
            <w:r>
              <w:rPr>
                <w:sz w:val="22"/>
              </w:rPr>
              <w:t>4.2.9</w:t>
            </w:r>
          </w:p>
        </w:tc>
        <w:tc>
          <w:tcPr>
            <w:tcW w:w="3542" w:type="dxa"/>
          </w:tcPr>
          <w:p w14:paraId="55E6EB23" w14:textId="77777777" w:rsidR="00F31BDB" w:rsidRDefault="00F31BDB" w:rsidP="00602F18">
            <w:pPr>
              <w:rPr>
                <w:sz w:val="22"/>
              </w:rPr>
            </w:pPr>
            <w:r>
              <w:rPr>
                <w:sz w:val="22"/>
              </w:rPr>
              <w:t>Dormitory</w:t>
            </w:r>
          </w:p>
        </w:tc>
        <w:tc>
          <w:tcPr>
            <w:tcW w:w="677" w:type="dxa"/>
          </w:tcPr>
          <w:p w14:paraId="16D7789B" w14:textId="77777777" w:rsidR="00F31BDB" w:rsidRDefault="00F31BDB" w:rsidP="00602F18">
            <w:pPr>
              <w:jc w:val="center"/>
              <w:rPr>
                <w:sz w:val="22"/>
              </w:rPr>
            </w:pPr>
            <w:r>
              <w:rPr>
                <w:sz w:val="22"/>
              </w:rPr>
              <w:t>N</w:t>
            </w:r>
          </w:p>
        </w:tc>
        <w:tc>
          <w:tcPr>
            <w:tcW w:w="677" w:type="dxa"/>
          </w:tcPr>
          <w:p w14:paraId="633A9272" w14:textId="77777777" w:rsidR="00F31BDB" w:rsidRDefault="00F31BDB" w:rsidP="00602F18">
            <w:pPr>
              <w:jc w:val="center"/>
              <w:rPr>
                <w:sz w:val="22"/>
              </w:rPr>
            </w:pPr>
            <w:r>
              <w:rPr>
                <w:sz w:val="22"/>
              </w:rPr>
              <w:t>N</w:t>
            </w:r>
          </w:p>
        </w:tc>
        <w:tc>
          <w:tcPr>
            <w:tcW w:w="677" w:type="dxa"/>
          </w:tcPr>
          <w:p w14:paraId="59110BD6" w14:textId="77777777" w:rsidR="00F31BDB" w:rsidRDefault="00F31BDB" w:rsidP="00602F18">
            <w:pPr>
              <w:jc w:val="center"/>
              <w:rPr>
                <w:sz w:val="22"/>
              </w:rPr>
            </w:pPr>
            <w:r>
              <w:rPr>
                <w:sz w:val="22"/>
              </w:rPr>
              <w:t>N</w:t>
            </w:r>
          </w:p>
        </w:tc>
        <w:tc>
          <w:tcPr>
            <w:tcW w:w="677" w:type="dxa"/>
          </w:tcPr>
          <w:p w14:paraId="7DFFE435" w14:textId="77777777" w:rsidR="00F31BDB" w:rsidRDefault="00F31BDB" w:rsidP="00602F18">
            <w:pPr>
              <w:jc w:val="center"/>
              <w:rPr>
                <w:sz w:val="22"/>
              </w:rPr>
            </w:pPr>
            <w:r>
              <w:rPr>
                <w:sz w:val="22"/>
              </w:rPr>
              <w:t>N</w:t>
            </w:r>
          </w:p>
        </w:tc>
        <w:tc>
          <w:tcPr>
            <w:tcW w:w="677" w:type="dxa"/>
          </w:tcPr>
          <w:p w14:paraId="5CE2D2CB" w14:textId="77777777" w:rsidR="00F31BDB" w:rsidRDefault="00F31BDB" w:rsidP="00602F18">
            <w:pPr>
              <w:jc w:val="center"/>
              <w:rPr>
                <w:sz w:val="22"/>
              </w:rPr>
            </w:pPr>
            <w:r>
              <w:rPr>
                <w:sz w:val="22"/>
              </w:rPr>
              <w:t>E</w:t>
            </w:r>
          </w:p>
        </w:tc>
        <w:tc>
          <w:tcPr>
            <w:tcW w:w="677" w:type="dxa"/>
          </w:tcPr>
          <w:p w14:paraId="04BD943C" w14:textId="77777777" w:rsidR="00F31BDB" w:rsidRDefault="00F31BDB" w:rsidP="00602F18">
            <w:pPr>
              <w:jc w:val="center"/>
              <w:rPr>
                <w:sz w:val="22"/>
              </w:rPr>
            </w:pPr>
            <w:r>
              <w:rPr>
                <w:sz w:val="22"/>
              </w:rPr>
              <w:t>E</w:t>
            </w:r>
          </w:p>
        </w:tc>
        <w:tc>
          <w:tcPr>
            <w:tcW w:w="677" w:type="dxa"/>
          </w:tcPr>
          <w:p w14:paraId="77EC7725" w14:textId="77777777" w:rsidR="00F31BDB" w:rsidRDefault="00F31BDB" w:rsidP="00602F18">
            <w:pPr>
              <w:jc w:val="center"/>
              <w:rPr>
                <w:sz w:val="22"/>
              </w:rPr>
            </w:pPr>
            <w:r>
              <w:rPr>
                <w:sz w:val="22"/>
              </w:rPr>
              <w:t>E</w:t>
            </w:r>
          </w:p>
        </w:tc>
        <w:tc>
          <w:tcPr>
            <w:tcW w:w="677" w:type="dxa"/>
          </w:tcPr>
          <w:p w14:paraId="45A3ACDE" w14:textId="77777777" w:rsidR="00F31BDB" w:rsidRDefault="00F31BDB" w:rsidP="00602F18">
            <w:pPr>
              <w:jc w:val="center"/>
              <w:rPr>
                <w:sz w:val="22"/>
              </w:rPr>
            </w:pPr>
            <w:r>
              <w:rPr>
                <w:sz w:val="22"/>
              </w:rPr>
              <w:t>N</w:t>
            </w:r>
          </w:p>
        </w:tc>
      </w:tr>
      <w:tr w:rsidR="00F31BDB" w:rsidRPr="00761F9D" w14:paraId="3AF8A435" w14:textId="77777777" w:rsidTr="00602F18">
        <w:tc>
          <w:tcPr>
            <w:tcW w:w="994" w:type="dxa"/>
            <w:vAlign w:val="center"/>
          </w:tcPr>
          <w:p w14:paraId="2C92EAE9" w14:textId="77777777" w:rsidR="00F31BDB" w:rsidRPr="00761F9D" w:rsidRDefault="00F31BDB" w:rsidP="00602F18">
            <w:pPr>
              <w:rPr>
                <w:sz w:val="22"/>
                <w:szCs w:val="22"/>
              </w:rPr>
            </w:pPr>
            <w:r w:rsidRPr="00761F9D">
              <w:rPr>
                <w:sz w:val="22"/>
                <w:szCs w:val="22"/>
              </w:rPr>
              <w:t>4.2.10</w:t>
            </w:r>
          </w:p>
        </w:tc>
        <w:tc>
          <w:tcPr>
            <w:tcW w:w="3542" w:type="dxa"/>
            <w:vAlign w:val="center"/>
          </w:tcPr>
          <w:p w14:paraId="1B4AA8F7" w14:textId="77777777" w:rsidR="00F31BDB" w:rsidRPr="00761F9D" w:rsidRDefault="00F31BDB" w:rsidP="00602F18">
            <w:pPr>
              <w:rPr>
                <w:sz w:val="22"/>
                <w:szCs w:val="22"/>
              </w:rPr>
            </w:pPr>
            <w:r w:rsidRPr="00761F9D">
              <w:rPr>
                <w:sz w:val="22"/>
                <w:szCs w:val="22"/>
              </w:rPr>
              <w:t>Senior Housing</w:t>
            </w:r>
            <w:r>
              <w:rPr>
                <w:sz w:val="22"/>
                <w:szCs w:val="22"/>
                <w:highlight w:val="yellow"/>
              </w:rPr>
              <w:t>/W</w:t>
            </w:r>
            <w:r w:rsidRPr="00715C96">
              <w:rPr>
                <w:sz w:val="22"/>
                <w:szCs w:val="22"/>
                <w:highlight w:val="yellow"/>
              </w:rPr>
              <w:t>orkforce Housing</w:t>
            </w:r>
          </w:p>
        </w:tc>
        <w:tc>
          <w:tcPr>
            <w:tcW w:w="677" w:type="dxa"/>
            <w:vAlign w:val="center"/>
          </w:tcPr>
          <w:p w14:paraId="1A40C7AD" w14:textId="77777777" w:rsidR="00F31BDB" w:rsidRPr="00761F9D" w:rsidRDefault="00F31BDB" w:rsidP="00602F18">
            <w:pPr>
              <w:jc w:val="center"/>
              <w:rPr>
                <w:sz w:val="22"/>
                <w:szCs w:val="22"/>
              </w:rPr>
            </w:pPr>
            <w:r w:rsidRPr="00761F9D">
              <w:rPr>
                <w:sz w:val="22"/>
                <w:szCs w:val="22"/>
              </w:rPr>
              <w:t>N</w:t>
            </w:r>
          </w:p>
        </w:tc>
        <w:tc>
          <w:tcPr>
            <w:tcW w:w="677" w:type="dxa"/>
            <w:vAlign w:val="center"/>
          </w:tcPr>
          <w:p w14:paraId="4238F750" w14:textId="77777777" w:rsidR="00F31BDB" w:rsidRPr="00761F9D" w:rsidRDefault="00F31BDB" w:rsidP="00602F18">
            <w:pPr>
              <w:jc w:val="center"/>
              <w:rPr>
                <w:sz w:val="22"/>
                <w:szCs w:val="22"/>
              </w:rPr>
            </w:pPr>
            <w:r w:rsidRPr="00761F9D">
              <w:rPr>
                <w:sz w:val="22"/>
                <w:szCs w:val="22"/>
              </w:rPr>
              <w:t>E</w:t>
            </w:r>
          </w:p>
        </w:tc>
        <w:tc>
          <w:tcPr>
            <w:tcW w:w="677" w:type="dxa"/>
            <w:vAlign w:val="center"/>
          </w:tcPr>
          <w:p w14:paraId="1E748C22" w14:textId="77777777" w:rsidR="00F31BDB" w:rsidRPr="00761F9D" w:rsidRDefault="00F31BDB" w:rsidP="00602F18">
            <w:pPr>
              <w:jc w:val="center"/>
              <w:rPr>
                <w:sz w:val="22"/>
                <w:szCs w:val="22"/>
              </w:rPr>
            </w:pPr>
            <w:r w:rsidRPr="00761F9D">
              <w:rPr>
                <w:sz w:val="22"/>
                <w:szCs w:val="22"/>
              </w:rPr>
              <w:t>E</w:t>
            </w:r>
          </w:p>
        </w:tc>
        <w:tc>
          <w:tcPr>
            <w:tcW w:w="677" w:type="dxa"/>
            <w:vAlign w:val="center"/>
          </w:tcPr>
          <w:p w14:paraId="7830C68B" w14:textId="77777777" w:rsidR="00F31BDB" w:rsidRPr="00761F9D" w:rsidRDefault="00F31BDB" w:rsidP="00602F18">
            <w:pPr>
              <w:jc w:val="center"/>
              <w:rPr>
                <w:sz w:val="22"/>
                <w:szCs w:val="22"/>
              </w:rPr>
            </w:pPr>
            <w:r w:rsidRPr="00761F9D">
              <w:rPr>
                <w:sz w:val="22"/>
                <w:szCs w:val="22"/>
              </w:rPr>
              <w:t>N</w:t>
            </w:r>
          </w:p>
        </w:tc>
        <w:tc>
          <w:tcPr>
            <w:tcW w:w="677" w:type="dxa"/>
            <w:vAlign w:val="center"/>
          </w:tcPr>
          <w:p w14:paraId="023DCCAB" w14:textId="77777777" w:rsidR="00F31BDB" w:rsidRPr="00761F9D" w:rsidRDefault="00F31BDB" w:rsidP="00602F18">
            <w:pPr>
              <w:jc w:val="center"/>
              <w:rPr>
                <w:sz w:val="22"/>
                <w:szCs w:val="22"/>
              </w:rPr>
            </w:pPr>
            <w:r w:rsidRPr="00761F9D">
              <w:rPr>
                <w:sz w:val="22"/>
                <w:szCs w:val="22"/>
              </w:rPr>
              <w:t>E</w:t>
            </w:r>
          </w:p>
        </w:tc>
        <w:tc>
          <w:tcPr>
            <w:tcW w:w="677" w:type="dxa"/>
            <w:vAlign w:val="center"/>
          </w:tcPr>
          <w:p w14:paraId="17E16D80" w14:textId="77777777" w:rsidR="00F31BDB" w:rsidRPr="00761F9D" w:rsidRDefault="00F31BDB" w:rsidP="00602F18">
            <w:pPr>
              <w:jc w:val="center"/>
              <w:rPr>
                <w:sz w:val="22"/>
                <w:szCs w:val="22"/>
              </w:rPr>
            </w:pPr>
            <w:r w:rsidRPr="00761F9D">
              <w:rPr>
                <w:sz w:val="22"/>
                <w:szCs w:val="22"/>
              </w:rPr>
              <w:t>E</w:t>
            </w:r>
          </w:p>
        </w:tc>
        <w:tc>
          <w:tcPr>
            <w:tcW w:w="677" w:type="dxa"/>
            <w:vAlign w:val="center"/>
          </w:tcPr>
          <w:p w14:paraId="3E3295E1" w14:textId="77777777" w:rsidR="00F31BDB" w:rsidRPr="00761F9D" w:rsidRDefault="00F31BDB" w:rsidP="00602F18">
            <w:pPr>
              <w:jc w:val="center"/>
              <w:rPr>
                <w:sz w:val="22"/>
                <w:szCs w:val="22"/>
              </w:rPr>
            </w:pPr>
            <w:r w:rsidRPr="00761F9D">
              <w:rPr>
                <w:sz w:val="22"/>
                <w:szCs w:val="22"/>
              </w:rPr>
              <w:t>N</w:t>
            </w:r>
          </w:p>
        </w:tc>
        <w:tc>
          <w:tcPr>
            <w:tcW w:w="677" w:type="dxa"/>
            <w:vAlign w:val="center"/>
          </w:tcPr>
          <w:p w14:paraId="35ACA311" w14:textId="77777777" w:rsidR="00F31BDB" w:rsidRPr="00761F9D" w:rsidRDefault="00F31BDB" w:rsidP="00602F18">
            <w:pPr>
              <w:jc w:val="center"/>
              <w:rPr>
                <w:sz w:val="22"/>
                <w:szCs w:val="22"/>
              </w:rPr>
            </w:pPr>
            <w:r w:rsidRPr="00761F9D">
              <w:rPr>
                <w:sz w:val="22"/>
                <w:szCs w:val="22"/>
              </w:rPr>
              <w:t>N</w:t>
            </w:r>
          </w:p>
        </w:tc>
      </w:tr>
      <w:tr w:rsidR="00F31BDB" w:rsidRPr="00761F9D" w14:paraId="1F7BF530" w14:textId="77777777" w:rsidTr="00602F18">
        <w:tc>
          <w:tcPr>
            <w:tcW w:w="994" w:type="dxa"/>
            <w:vAlign w:val="center"/>
          </w:tcPr>
          <w:p w14:paraId="6FC067B5" w14:textId="77777777" w:rsidR="00F31BDB" w:rsidRPr="00761F9D" w:rsidRDefault="00F31BDB" w:rsidP="00602F18">
            <w:pPr>
              <w:rPr>
                <w:sz w:val="22"/>
                <w:szCs w:val="22"/>
              </w:rPr>
            </w:pPr>
            <w:r w:rsidRPr="00761F9D">
              <w:rPr>
                <w:sz w:val="22"/>
                <w:szCs w:val="22"/>
              </w:rPr>
              <w:t>4.2.11</w:t>
            </w:r>
          </w:p>
        </w:tc>
        <w:tc>
          <w:tcPr>
            <w:tcW w:w="3542" w:type="dxa"/>
            <w:vAlign w:val="center"/>
          </w:tcPr>
          <w:p w14:paraId="43577E85" w14:textId="77777777" w:rsidR="00F31BDB" w:rsidRPr="00761F9D" w:rsidRDefault="00F31BDB" w:rsidP="00602F18">
            <w:pPr>
              <w:rPr>
                <w:sz w:val="22"/>
                <w:szCs w:val="22"/>
              </w:rPr>
            </w:pPr>
            <w:r w:rsidRPr="00761F9D">
              <w:rPr>
                <w:sz w:val="22"/>
                <w:szCs w:val="22"/>
              </w:rPr>
              <w:t>Short-Term Rental</w:t>
            </w:r>
          </w:p>
        </w:tc>
        <w:tc>
          <w:tcPr>
            <w:tcW w:w="677" w:type="dxa"/>
            <w:vAlign w:val="center"/>
          </w:tcPr>
          <w:p w14:paraId="0E9D8039" w14:textId="77777777" w:rsidR="00F31BDB" w:rsidRPr="00761F9D" w:rsidRDefault="00F31BDB" w:rsidP="00602F18">
            <w:pPr>
              <w:jc w:val="center"/>
              <w:rPr>
                <w:sz w:val="22"/>
                <w:szCs w:val="22"/>
              </w:rPr>
            </w:pPr>
            <w:r w:rsidRPr="00761F9D">
              <w:rPr>
                <w:sz w:val="22"/>
                <w:szCs w:val="22"/>
              </w:rPr>
              <w:t>C</w:t>
            </w:r>
          </w:p>
        </w:tc>
        <w:tc>
          <w:tcPr>
            <w:tcW w:w="677" w:type="dxa"/>
            <w:vAlign w:val="center"/>
          </w:tcPr>
          <w:p w14:paraId="4B4CBE42" w14:textId="77777777" w:rsidR="00F31BDB" w:rsidRPr="00761F9D" w:rsidRDefault="00F31BDB" w:rsidP="00602F18">
            <w:pPr>
              <w:jc w:val="center"/>
              <w:rPr>
                <w:sz w:val="22"/>
                <w:szCs w:val="22"/>
              </w:rPr>
            </w:pPr>
            <w:r w:rsidRPr="00761F9D">
              <w:rPr>
                <w:sz w:val="22"/>
                <w:szCs w:val="22"/>
              </w:rPr>
              <w:t>C</w:t>
            </w:r>
          </w:p>
        </w:tc>
        <w:tc>
          <w:tcPr>
            <w:tcW w:w="677" w:type="dxa"/>
            <w:vAlign w:val="center"/>
          </w:tcPr>
          <w:p w14:paraId="5A2BC29E" w14:textId="77777777" w:rsidR="00F31BDB" w:rsidRPr="00761F9D" w:rsidRDefault="00F31BDB" w:rsidP="00602F18">
            <w:pPr>
              <w:jc w:val="center"/>
              <w:rPr>
                <w:sz w:val="22"/>
                <w:szCs w:val="22"/>
              </w:rPr>
            </w:pPr>
            <w:r w:rsidRPr="00761F9D">
              <w:rPr>
                <w:sz w:val="22"/>
                <w:szCs w:val="22"/>
              </w:rPr>
              <w:t>C</w:t>
            </w:r>
          </w:p>
        </w:tc>
        <w:tc>
          <w:tcPr>
            <w:tcW w:w="677" w:type="dxa"/>
            <w:vAlign w:val="center"/>
          </w:tcPr>
          <w:p w14:paraId="5BD5FCAA" w14:textId="77777777" w:rsidR="00F31BDB" w:rsidRPr="00761F9D" w:rsidRDefault="00F31BDB" w:rsidP="00602F18">
            <w:pPr>
              <w:jc w:val="center"/>
              <w:rPr>
                <w:sz w:val="22"/>
                <w:szCs w:val="22"/>
              </w:rPr>
            </w:pPr>
            <w:r w:rsidRPr="00761F9D">
              <w:rPr>
                <w:sz w:val="22"/>
                <w:szCs w:val="22"/>
              </w:rPr>
              <w:t>C</w:t>
            </w:r>
          </w:p>
        </w:tc>
        <w:tc>
          <w:tcPr>
            <w:tcW w:w="677" w:type="dxa"/>
            <w:vAlign w:val="center"/>
          </w:tcPr>
          <w:p w14:paraId="3B4AFAB9" w14:textId="77777777" w:rsidR="00F31BDB" w:rsidRPr="00761F9D" w:rsidRDefault="00F31BDB" w:rsidP="00602F18">
            <w:pPr>
              <w:jc w:val="center"/>
              <w:rPr>
                <w:sz w:val="22"/>
                <w:szCs w:val="22"/>
              </w:rPr>
            </w:pPr>
            <w:r w:rsidRPr="00761F9D">
              <w:rPr>
                <w:sz w:val="22"/>
                <w:szCs w:val="22"/>
              </w:rPr>
              <w:t>C</w:t>
            </w:r>
          </w:p>
        </w:tc>
        <w:tc>
          <w:tcPr>
            <w:tcW w:w="677" w:type="dxa"/>
            <w:vAlign w:val="center"/>
          </w:tcPr>
          <w:p w14:paraId="46815370" w14:textId="77777777" w:rsidR="00F31BDB" w:rsidRPr="00761F9D" w:rsidRDefault="00F31BDB" w:rsidP="00602F18">
            <w:pPr>
              <w:jc w:val="center"/>
              <w:rPr>
                <w:sz w:val="22"/>
                <w:szCs w:val="22"/>
              </w:rPr>
            </w:pPr>
            <w:r w:rsidRPr="00761F9D">
              <w:rPr>
                <w:sz w:val="22"/>
                <w:szCs w:val="22"/>
              </w:rPr>
              <w:t>C</w:t>
            </w:r>
          </w:p>
        </w:tc>
        <w:tc>
          <w:tcPr>
            <w:tcW w:w="677" w:type="dxa"/>
            <w:vAlign w:val="center"/>
          </w:tcPr>
          <w:p w14:paraId="6A6ACD6C" w14:textId="77777777" w:rsidR="00F31BDB" w:rsidRPr="00B557F8" w:rsidRDefault="00F31BDB" w:rsidP="00602F18">
            <w:pPr>
              <w:jc w:val="center"/>
              <w:rPr>
                <w:color w:val="000000"/>
                <w:sz w:val="22"/>
                <w:szCs w:val="22"/>
              </w:rPr>
            </w:pPr>
            <w:r w:rsidRPr="00B557F8">
              <w:rPr>
                <w:color w:val="000000"/>
                <w:sz w:val="22"/>
                <w:szCs w:val="22"/>
              </w:rPr>
              <w:t>N</w:t>
            </w:r>
          </w:p>
        </w:tc>
        <w:tc>
          <w:tcPr>
            <w:tcW w:w="677" w:type="dxa"/>
            <w:vAlign w:val="center"/>
          </w:tcPr>
          <w:p w14:paraId="1E578AFE" w14:textId="77777777" w:rsidR="00F31BDB" w:rsidRPr="00B557F8" w:rsidRDefault="00F31BDB" w:rsidP="00602F18">
            <w:pPr>
              <w:jc w:val="center"/>
              <w:rPr>
                <w:color w:val="000000"/>
                <w:sz w:val="22"/>
                <w:szCs w:val="22"/>
              </w:rPr>
            </w:pPr>
            <w:r w:rsidRPr="00B557F8">
              <w:rPr>
                <w:color w:val="000000"/>
                <w:sz w:val="22"/>
                <w:szCs w:val="22"/>
              </w:rPr>
              <w:t>N</w:t>
            </w:r>
          </w:p>
        </w:tc>
      </w:tr>
    </w:tbl>
    <w:p w14:paraId="7179EDC7" w14:textId="1FEF0583" w:rsidR="00520C82" w:rsidRDefault="00520C82" w:rsidP="00F31BDB"/>
    <w:p w14:paraId="6DA3E619" w14:textId="77777777" w:rsidR="00F31BDB" w:rsidRDefault="00F31BDB" w:rsidP="00F31BDB">
      <w:pPr>
        <w:ind w:left="432"/>
        <w:rPr>
          <w:b/>
          <w:color w:val="000000"/>
        </w:rPr>
      </w:pPr>
      <w:r>
        <w:rPr>
          <w:b/>
          <w:color w:val="000000"/>
        </w:rPr>
        <w:t>4.7.2  Residential Uses</w:t>
      </w:r>
    </w:p>
    <w:p w14:paraId="43BF4232" w14:textId="77777777" w:rsidR="00F31BDB" w:rsidRDefault="00F31BDB" w:rsidP="00F31BDB">
      <w:pPr>
        <w:ind w:left="1296" w:hanging="432"/>
      </w:pPr>
      <w:r>
        <w:t>(j)</w:t>
      </w:r>
      <w:r>
        <w:tab/>
      </w:r>
      <w:r>
        <w:rPr>
          <w:u w:val="single"/>
        </w:rPr>
        <w:t>Senior Housing</w:t>
      </w:r>
      <w:r w:rsidRPr="00715C96">
        <w:rPr>
          <w:highlight w:val="yellow"/>
          <w:u w:val="single"/>
        </w:rPr>
        <w:t>/Workforce Housing</w:t>
      </w:r>
      <w:r>
        <w:t xml:space="preserve"> – Refer to Article 3, Definitions, for </w:t>
      </w:r>
      <w:r w:rsidRPr="00715C96">
        <w:rPr>
          <w:dstrike/>
        </w:rPr>
        <w:t>a definition</w:t>
      </w:r>
      <w:r>
        <w:t xml:space="preserve"> </w:t>
      </w:r>
      <w:r w:rsidRPr="00715C96">
        <w:rPr>
          <w:highlight w:val="yellow"/>
        </w:rPr>
        <w:t>definitions</w:t>
      </w:r>
      <w:r>
        <w:t xml:space="preserve"> of Senior Housing </w:t>
      </w:r>
      <w:r w:rsidRPr="00715C96">
        <w:rPr>
          <w:highlight w:val="yellow"/>
        </w:rPr>
        <w:t>and Workforce Housing</w:t>
      </w:r>
      <w:r>
        <w:t xml:space="preserve">, and Section 11.4.7, Senior Housing </w:t>
      </w:r>
      <w:r w:rsidRPr="00715C96">
        <w:rPr>
          <w:highlight w:val="yellow"/>
        </w:rPr>
        <w:t>and Workforce Housing</w:t>
      </w:r>
      <w:r>
        <w:t>, for development regulations.</w:t>
      </w:r>
    </w:p>
    <w:p w14:paraId="18DBC83F" w14:textId="245CF952" w:rsidR="00F31BDB" w:rsidRDefault="00F31BDB" w:rsidP="00F31BDB"/>
    <w:p w14:paraId="429DD1E8" w14:textId="77777777" w:rsidR="00F31BDB" w:rsidRPr="00715C96" w:rsidRDefault="00F31BDB" w:rsidP="00F31BDB">
      <w:r w:rsidRPr="00715C96">
        <w:t>ARTICLE 11, SPECIAL EXCEPTIONS</w:t>
      </w:r>
    </w:p>
    <w:p w14:paraId="3B8A93E3" w14:textId="77777777" w:rsidR="00F31BDB" w:rsidRDefault="00F31BDB" w:rsidP="00F31BDB">
      <w:pPr>
        <w:rPr>
          <w:sz w:val="22"/>
        </w:rPr>
      </w:pPr>
    </w:p>
    <w:p w14:paraId="4E5846CD" w14:textId="77777777" w:rsidR="00F31BDB" w:rsidRDefault="00F31BDB" w:rsidP="00F31BDB">
      <w:pPr>
        <w:rPr>
          <w:sz w:val="22"/>
        </w:rPr>
      </w:pPr>
      <w:r>
        <w:rPr>
          <w:sz w:val="22"/>
        </w:rPr>
        <w:t>§11.4  Specific Rules for Particular Special Exceptions</w:t>
      </w:r>
    </w:p>
    <w:p w14:paraId="2BA1106C" w14:textId="77777777" w:rsidR="00F31BDB" w:rsidRDefault="00F31BDB" w:rsidP="00F31BDB">
      <w:pPr>
        <w:rPr>
          <w:b/>
        </w:rPr>
      </w:pPr>
      <w:r>
        <w:rPr>
          <w:b/>
        </w:rPr>
        <w:t xml:space="preserve">11.4.7  Senior Housing </w:t>
      </w:r>
      <w:r w:rsidRPr="00CE52ED">
        <w:rPr>
          <w:b/>
          <w:highlight w:val="yellow"/>
        </w:rPr>
        <w:t>and Workforce Housing</w:t>
      </w:r>
    </w:p>
    <w:p w14:paraId="5CFFD2EE" w14:textId="77777777" w:rsidR="00F31BDB" w:rsidRDefault="00F31BDB" w:rsidP="00F31BDB">
      <w:pPr>
        <w:ind w:left="864" w:hanging="432"/>
      </w:pPr>
      <w:r>
        <w:t>(a)</w:t>
      </w:r>
      <w:r>
        <w:tab/>
      </w:r>
      <w:r>
        <w:rPr>
          <w:u w:val="single"/>
        </w:rPr>
        <w:t>Authority and Purpose</w:t>
      </w:r>
      <w:r>
        <w:t xml:space="preserve"> – It is declared to be in the public interest and for the general welfare of the Town of Gilford to permit the development of senior housing </w:t>
      </w:r>
      <w:r w:rsidRPr="00CE52ED">
        <w:rPr>
          <w:highlight w:val="yellow"/>
        </w:rPr>
        <w:t>and workforce housing</w:t>
      </w:r>
      <w:r>
        <w:t xml:space="preserve"> facilities specifically suited to address the special housing needs of seniors </w:t>
      </w:r>
      <w:r w:rsidRPr="00CE52ED">
        <w:rPr>
          <w:highlight w:val="yellow"/>
        </w:rPr>
        <w:t>and middle-income individuals and families</w:t>
      </w:r>
      <w:r>
        <w:t xml:space="preserve">.  It is the purpose of this section to establish provisions under which senior housing </w:t>
      </w:r>
      <w:r w:rsidRPr="00CE52ED">
        <w:rPr>
          <w:highlight w:val="yellow"/>
        </w:rPr>
        <w:t>and workforc</w:t>
      </w:r>
      <w:r>
        <w:rPr>
          <w:highlight w:val="yellow"/>
        </w:rPr>
        <w:t>e housing</w:t>
      </w:r>
      <w:r>
        <w:t xml:space="preserve"> developments may be permitted.</w:t>
      </w:r>
    </w:p>
    <w:p w14:paraId="5D4BCA2D" w14:textId="77777777" w:rsidR="00F31BDB" w:rsidRDefault="00F31BDB" w:rsidP="00F31BDB">
      <w:pPr>
        <w:ind w:left="864" w:hanging="432"/>
      </w:pPr>
      <w:r>
        <w:t>(b)</w:t>
      </w:r>
      <w:r>
        <w:tab/>
      </w:r>
      <w:r>
        <w:rPr>
          <w:u w:val="single"/>
        </w:rPr>
        <w:t xml:space="preserve">Application for Senior Housing </w:t>
      </w:r>
      <w:r w:rsidRPr="00CE52ED">
        <w:rPr>
          <w:highlight w:val="yellow"/>
          <w:u w:val="single"/>
        </w:rPr>
        <w:t>and Workforce Housing</w:t>
      </w:r>
      <w:r>
        <w:rPr>
          <w:u w:val="single"/>
        </w:rPr>
        <w:t xml:space="preserve"> Development</w:t>
      </w:r>
      <w:r>
        <w:t xml:space="preserve"> – The applicant for a senior housing </w:t>
      </w:r>
      <w:r w:rsidRPr="00CE52ED">
        <w:rPr>
          <w:highlight w:val="yellow"/>
        </w:rPr>
        <w:t>or workforce housing</w:t>
      </w:r>
      <w:r>
        <w:t xml:space="preserve"> development shall receive approval of a special exception from the Board of Adjustment, and shall also receive site plan approval from the Planning Board.  An applicant may request a joint meeting as provided for in Section 10.3.2, “Joint Meetings”.</w:t>
      </w:r>
    </w:p>
    <w:p w14:paraId="3F9818C2" w14:textId="77777777" w:rsidR="00F31BDB" w:rsidRDefault="00F31BDB" w:rsidP="00F31BDB">
      <w:pPr>
        <w:ind w:left="864" w:hanging="432"/>
      </w:pPr>
      <w:r>
        <w:t>(c)</w:t>
      </w:r>
      <w:r>
        <w:tab/>
      </w:r>
      <w:r>
        <w:rPr>
          <w:u w:val="single"/>
        </w:rPr>
        <w:t>Dwelling Type and Density</w:t>
      </w:r>
      <w:r>
        <w:t xml:space="preserve"> – Dwelling units may be in detached, semi-detached, and/or attached structures, consisting of one-family, two-family, and/or multi-family units.  Senior housing </w:t>
      </w:r>
      <w:r w:rsidRPr="00CE52ED">
        <w:rPr>
          <w:highlight w:val="yellow"/>
        </w:rPr>
        <w:t>and workforce housing</w:t>
      </w:r>
      <w:r>
        <w:t xml:space="preserve"> developments may be developed with not more than fifteen (15) units per buildable acre in residential zones and not more than twenty-four (24) units per buildable acre in non-residential zones.  Structures in residential zones may be developed with not more than twenty-eight (28) units per structure.</w:t>
      </w:r>
    </w:p>
    <w:p w14:paraId="48FAA058" w14:textId="77777777" w:rsidR="00F31BDB" w:rsidRDefault="00F31BDB" w:rsidP="00F31BDB">
      <w:pPr>
        <w:ind w:left="864" w:hanging="432"/>
      </w:pPr>
      <w:r>
        <w:t>(d)</w:t>
      </w:r>
      <w:r>
        <w:tab/>
      </w:r>
      <w:r>
        <w:rPr>
          <w:u w:val="single"/>
        </w:rPr>
        <w:t>Utilities</w:t>
      </w:r>
      <w:r>
        <w:t xml:space="preserve"> – All utilities shall be underground.</w:t>
      </w:r>
    </w:p>
    <w:p w14:paraId="51E62FF3" w14:textId="77777777" w:rsidR="00F31BDB" w:rsidRDefault="00F31BDB" w:rsidP="00F31BDB">
      <w:pPr>
        <w:ind w:left="864" w:hanging="432"/>
      </w:pPr>
      <w:r>
        <w:t>(e)</w:t>
      </w:r>
      <w:r>
        <w:tab/>
      </w:r>
      <w:r>
        <w:rPr>
          <w:u w:val="single"/>
        </w:rPr>
        <w:t>Access</w:t>
      </w:r>
      <w:r>
        <w:t xml:space="preserve"> – All units shall be serviced by a private roadway internal to the site and shall not have direct driveway access from a public street.</w:t>
      </w:r>
    </w:p>
    <w:p w14:paraId="06CA7145" w14:textId="77777777" w:rsidR="00F31BDB" w:rsidRDefault="00F31BDB" w:rsidP="00F31BDB">
      <w:pPr>
        <w:ind w:left="864" w:hanging="432"/>
        <w:rPr>
          <w:strike/>
        </w:rPr>
      </w:pPr>
      <w:r>
        <w:t>(f)</w:t>
      </w:r>
      <w:r>
        <w:tab/>
      </w:r>
      <w:r>
        <w:rPr>
          <w:u w:val="single"/>
        </w:rPr>
        <w:t>Layout &amp; Design</w:t>
      </w:r>
      <w:r>
        <w:t xml:space="preserve"> – All senior housing </w:t>
      </w:r>
      <w:r w:rsidRPr="00CE52ED">
        <w:rPr>
          <w:highlight w:val="yellow"/>
        </w:rPr>
        <w:t>and workforce housing</w:t>
      </w:r>
      <w:r>
        <w:t xml:space="preserve"> developments shall be architecturally designed, located, landscaped, and buffered in a manner that does not adversely alter the character of the neighborhood.</w:t>
      </w:r>
    </w:p>
    <w:p w14:paraId="1F681E70" w14:textId="77777777" w:rsidR="00F31BDB" w:rsidRDefault="00F31BDB" w:rsidP="00F31BDB">
      <w:pPr>
        <w:ind w:left="864" w:hanging="432"/>
      </w:pPr>
      <w:r>
        <w:t>(g)</w:t>
      </w:r>
      <w:r>
        <w:tab/>
      </w:r>
      <w:r>
        <w:rPr>
          <w:u w:val="single"/>
        </w:rPr>
        <w:t>Open Space/Recreation Facilities</w:t>
      </w:r>
      <w:r>
        <w:t xml:space="preserve"> – Adequate open space and recreation facilities shall be provided on site consistent with the overall density proposed.  Recreational amenities shall be provided for each </w:t>
      </w:r>
      <w:r w:rsidRPr="00891FA1">
        <w:t>senior housing</w:t>
      </w:r>
      <w:r>
        <w:t xml:space="preserve"> </w:t>
      </w:r>
      <w:r w:rsidRPr="00891FA1">
        <w:rPr>
          <w:highlight w:val="yellow"/>
        </w:rPr>
        <w:t>and workforce housing</w:t>
      </w:r>
      <w:r>
        <w:t xml:space="preserve"> development.  Recreational amenities shall include a community room sized appropriately for the project, and such other amenities as are suitable and commensurate with the size and occupancy of the development. </w:t>
      </w:r>
    </w:p>
    <w:p w14:paraId="78647544" w14:textId="77777777" w:rsidR="00F31BDB" w:rsidRPr="00F24F6D" w:rsidRDefault="00F31BDB" w:rsidP="00F31BDB">
      <w:pPr>
        <w:ind w:left="864" w:hanging="432"/>
        <w:rPr>
          <w:color w:val="000000" w:themeColor="text1"/>
        </w:rPr>
      </w:pPr>
      <w:r>
        <w:t>(h)</w:t>
      </w:r>
      <w:r>
        <w:tab/>
      </w:r>
      <w:r>
        <w:rPr>
          <w:u w:val="single"/>
        </w:rPr>
        <w:t>Unit Mix</w:t>
      </w:r>
      <w:r>
        <w:t xml:space="preserve"> – All developments shall provide for a mixture of one- (1) and two- (2) </w:t>
      </w:r>
      <w:r w:rsidRPr="00F24F6D">
        <w:rPr>
          <w:color w:val="000000" w:themeColor="text1"/>
        </w:rPr>
        <w:t xml:space="preserve">bedroom units.  </w:t>
      </w:r>
      <w:r w:rsidRPr="00F24F6D">
        <w:rPr>
          <w:color w:val="000000" w:themeColor="text1"/>
          <w:highlight w:val="yellow"/>
        </w:rPr>
        <w:t>Three- (3) bedroom units may also be allowed, up to a maximum of twenty-five percent (25%) of the total number of units in a development or one (1) unit, whichever is greater.</w:t>
      </w:r>
      <w:r w:rsidRPr="00F24F6D">
        <w:rPr>
          <w:color w:val="000000" w:themeColor="text1"/>
        </w:rPr>
        <w:t xml:space="preserve">  The maximum number of bedrooms per unit shall be </w:t>
      </w:r>
      <w:r w:rsidRPr="00F24F6D">
        <w:rPr>
          <w:dstrike/>
          <w:color w:val="000000" w:themeColor="text1"/>
        </w:rPr>
        <w:t>two (2)</w:t>
      </w:r>
      <w:r w:rsidRPr="00F24F6D">
        <w:rPr>
          <w:color w:val="000000" w:themeColor="text1"/>
        </w:rPr>
        <w:t xml:space="preserve"> </w:t>
      </w:r>
      <w:r w:rsidRPr="00F24F6D">
        <w:rPr>
          <w:color w:val="000000" w:themeColor="text1"/>
          <w:highlight w:val="yellow"/>
        </w:rPr>
        <w:t>three (3)</w:t>
      </w:r>
      <w:r w:rsidRPr="00F24F6D">
        <w:rPr>
          <w:color w:val="000000" w:themeColor="text1"/>
        </w:rPr>
        <w:t xml:space="preserve">.  </w:t>
      </w:r>
      <w:r w:rsidRPr="00F24F6D">
        <w:rPr>
          <w:color w:val="000000" w:themeColor="text1"/>
          <w:highlight w:val="yellow"/>
        </w:rPr>
        <w:t>Workforce housing developments shall consist of no fewer than fifty percent (50%) two- (2) bedroom units.</w:t>
      </w:r>
    </w:p>
    <w:p w14:paraId="40F3B5F4" w14:textId="77777777" w:rsidR="00F31BDB" w:rsidRDefault="00F31BDB" w:rsidP="00F31BDB">
      <w:pPr>
        <w:ind w:left="864" w:hanging="432"/>
      </w:pPr>
      <w:r w:rsidRPr="00F24F6D">
        <w:rPr>
          <w:color w:val="000000" w:themeColor="text1"/>
        </w:rPr>
        <w:t>(</w:t>
      </w:r>
      <w:proofErr w:type="spellStart"/>
      <w:r w:rsidRPr="00F24F6D">
        <w:rPr>
          <w:color w:val="000000" w:themeColor="text1"/>
        </w:rPr>
        <w:t>i</w:t>
      </w:r>
      <w:proofErr w:type="spellEnd"/>
      <w:r w:rsidRPr="00F24F6D">
        <w:rPr>
          <w:color w:val="000000" w:themeColor="text1"/>
        </w:rPr>
        <w:t>)</w:t>
      </w:r>
      <w:r w:rsidRPr="00F24F6D">
        <w:rPr>
          <w:color w:val="000000" w:themeColor="text1"/>
        </w:rPr>
        <w:tab/>
      </w:r>
      <w:r>
        <w:rPr>
          <w:u w:val="single"/>
        </w:rPr>
        <w:t xml:space="preserve">Parking </w:t>
      </w:r>
      <w:r w:rsidRPr="00CE52ED">
        <w:rPr>
          <w:highlight w:val="yellow"/>
          <w:u w:val="single"/>
        </w:rPr>
        <w:t>for Senior Housing</w:t>
      </w:r>
      <w:r>
        <w:t xml:space="preserve"> – A minimum of one and one tenth (1.1) parking spaces shall be provided for all one- (1) bedroom units and a minimum of one and three tenths (1.3) parking spaces shall be provided for all two- (2) bedroom units.  In addition, one (1) parking space shall be provided and designated for maintenance vehicle parking per senior housing development.</w:t>
      </w:r>
    </w:p>
    <w:p w14:paraId="60981C0B" w14:textId="77777777" w:rsidR="00F31BDB" w:rsidRDefault="00F31BDB" w:rsidP="00F31BDB">
      <w:pPr>
        <w:ind w:left="864" w:hanging="432"/>
      </w:pPr>
      <w:r>
        <w:t>(j)</w:t>
      </w:r>
      <w:r>
        <w:tab/>
      </w:r>
      <w:r w:rsidRPr="0013500A">
        <w:rPr>
          <w:highlight w:val="yellow"/>
          <w:u w:val="single"/>
        </w:rPr>
        <w:t>Parking for Workforce Housing</w:t>
      </w:r>
      <w:r w:rsidRPr="0013500A">
        <w:rPr>
          <w:highlight w:val="yellow"/>
        </w:rPr>
        <w:t xml:space="preserve"> – A minimum of one and one </w:t>
      </w:r>
      <w:r>
        <w:rPr>
          <w:highlight w:val="yellow"/>
        </w:rPr>
        <w:t xml:space="preserve">tenth </w:t>
      </w:r>
      <w:r w:rsidRPr="0013500A">
        <w:rPr>
          <w:highlight w:val="yellow"/>
        </w:rPr>
        <w:t>(1.</w:t>
      </w:r>
      <w:r>
        <w:rPr>
          <w:highlight w:val="yellow"/>
        </w:rPr>
        <w:t>1</w:t>
      </w:r>
      <w:r w:rsidRPr="0013500A">
        <w:rPr>
          <w:highlight w:val="yellow"/>
        </w:rPr>
        <w:t xml:space="preserve">) parking spaces shall be provided for all one- (1) bedroom units and </w:t>
      </w:r>
      <w:r>
        <w:rPr>
          <w:highlight w:val="yellow"/>
        </w:rPr>
        <w:t xml:space="preserve">a minimum of </w:t>
      </w:r>
      <w:r w:rsidRPr="0013500A">
        <w:rPr>
          <w:highlight w:val="yellow"/>
        </w:rPr>
        <w:t xml:space="preserve">two </w:t>
      </w:r>
      <w:r>
        <w:rPr>
          <w:highlight w:val="yellow"/>
        </w:rPr>
        <w:t xml:space="preserve">and four tenths </w:t>
      </w:r>
      <w:r w:rsidRPr="0013500A">
        <w:rPr>
          <w:highlight w:val="yellow"/>
        </w:rPr>
        <w:t>(2</w:t>
      </w:r>
      <w:r>
        <w:rPr>
          <w:highlight w:val="yellow"/>
        </w:rPr>
        <w:t>.4</w:t>
      </w:r>
      <w:r w:rsidRPr="0013500A">
        <w:rPr>
          <w:highlight w:val="yellow"/>
        </w:rPr>
        <w:t xml:space="preserve">) parking spaces shall be </w:t>
      </w:r>
      <w:r>
        <w:rPr>
          <w:highlight w:val="yellow"/>
        </w:rPr>
        <w:t xml:space="preserve">provided for all two- (2) </w:t>
      </w:r>
      <w:r w:rsidRPr="00F24F6D">
        <w:rPr>
          <w:color w:val="000000" w:themeColor="text1"/>
          <w:highlight w:val="yellow"/>
        </w:rPr>
        <w:t xml:space="preserve">and three- (3) </w:t>
      </w:r>
      <w:r>
        <w:rPr>
          <w:highlight w:val="yellow"/>
        </w:rPr>
        <w:t xml:space="preserve">bedroom units.  </w:t>
      </w:r>
      <w:r w:rsidRPr="0013500A">
        <w:rPr>
          <w:highlight w:val="yellow"/>
        </w:rPr>
        <w:t>In addition, one (1) parking space shall be provided and designated for maintenance vehicle parking per workforce housing development.</w:t>
      </w:r>
    </w:p>
    <w:p w14:paraId="4678B9FF" w14:textId="77777777" w:rsidR="00F31BDB" w:rsidRDefault="00F31BDB" w:rsidP="00F31BDB">
      <w:pPr>
        <w:ind w:left="864" w:hanging="432"/>
      </w:pPr>
      <w:r>
        <w:t>(</w:t>
      </w:r>
      <w:proofErr w:type="spellStart"/>
      <w:r w:rsidRPr="00ED16A8">
        <w:rPr>
          <w:dstrike/>
        </w:rPr>
        <w:t>j</w:t>
      </w:r>
      <w:r w:rsidRPr="00ED16A8">
        <w:rPr>
          <w:highlight w:val="yellow"/>
        </w:rPr>
        <w:t>k</w:t>
      </w:r>
      <w:proofErr w:type="spellEnd"/>
      <w:r>
        <w:t>)</w:t>
      </w:r>
      <w:r>
        <w:tab/>
      </w:r>
      <w:r>
        <w:rPr>
          <w:u w:val="single"/>
        </w:rPr>
        <w:t>Fire Protection</w:t>
      </w:r>
      <w:r>
        <w:t xml:space="preserve"> – All units shall meet all state and local life safety and fire code requirements.</w:t>
      </w:r>
    </w:p>
    <w:p w14:paraId="208449F9" w14:textId="77777777" w:rsidR="00F31BDB" w:rsidRDefault="00F31BDB" w:rsidP="00F31BDB">
      <w:pPr>
        <w:ind w:left="864" w:hanging="432"/>
      </w:pPr>
      <w:r>
        <w:t>(</w:t>
      </w:r>
      <w:r w:rsidRPr="00ED16A8">
        <w:rPr>
          <w:dstrike/>
        </w:rPr>
        <w:t>k</w:t>
      </w:r>
      <w:r w:rsidRPr="00ED16A8">
        <w:rPr>
          <w:highlight w:val="yellow"/>
        </w:rPr>
        <w:t>l</w:t>
      </w:r>
      <w:r>
        <w:t>)</w:t>
      </w:r>
      <w:r>
        <w:tab/>
      </w:r>
      <w:r>
        <w:rPr>
          <w:u w:val="single"/>
        </w:rPr>
        <w:t>Lot Coverage</w:t>
      </w:r>
      <w:r>
        <w:t xml:space="preserve"> – No senior housing </w:t>
      </w:r>
      <w:r w:rsidRPr="00ED16A8">
        <w:rPr>
          <w:highlight w:val="yellow"/>
        </w:rPr>
        <w:t>or workforce housing</w:t>
      </w:r>
      <w:r>
        <w:t xml:space="preserve"> development shall exceed the lot coverage typically allowed in the zone.</w:t>
      </w:r>
    </w:p>
    <w:p w14:paraId="0E16A33C" w14:textId="77777777" w:rsidR="00F31BDB" w:rsidRDefault="00F31BDB" w:rsidP="00F31BDB">
      <w:pPr>
        <w:ind w:left="864" w:hanging="432"/>
      </w:pPr>
      <w:r>
        <w:t>(</w:t>
      </w:r>
      <w:proofErr w:type="spellStart"/>
      <w:r w:rsidRPr="00ED16A8">
        <w:rPr>
          <w:dstrike/>
        </w:rPr>
        <w:t>l</w:t>
      </w:r>
      <w:r w:rsidRPr="00ED16A8">
        <w:rPr>
          <w:highlight w:val="yellow"/>
        </w:rPr>
        <w:t>m</w:t>
      </w:r>
      <w:proofErr w:type="spellEnd"/>
      <w:r>
        <w:t>)</w:t>
      </w:r>
      <w:r>
        <w:tab/>
      </w:r>
      <w:r>
        <w:rPr>
          <w:u w:val="single"/>
        </w:rPr>
        <w:t>Lot Frontage</w:t>
      </w:r>
      <w:r>
        <w:t xml:space="preserve"> – All lots proposed to support a senior housing </w:t>
      </w:r>
      <w:r w:rsidRPr="00ED16A8">
        <w:rPr>
          <w:highlight w:val="yellow"/>
        </w:rPr>
        <w:t>or workforce housing</w:t>
      </w:r>
      <w:r>
        <w:t xml:space="preserve"> development shall have a minimum of fifty (50) feet of frontage on, or a minimum of a fifty (50) foot wide right-of-way on a town- or state-maintained road.</w:t>
      </w:r>
    </w:p>
    <w:p w14:paraId="1580FD1B" w14:textId="77777777" w:rsidR="00F31BDB" w:rsidRDefault="00F31BDB" w:rsidP="00F31BDB">
      <w:pPr>
        <w:ind w:left="864" w:hanging="432"/>
      </w:pPr>
      <w:r w:rsidRPr="00ED16A8">
        <w:rPr>
          <w:sz w:val="22"/>
          <w:szCs w:val="22"/>
        </w:rPr>
        <w:t>(</w:t>
      </w:r>
      <w:proofErr w:type="spellStart"/>
      <w:r w:rsidRPr="00ED16A8">
        <w:rPr>
          <w:dstrike/>
          <w:sz w:val="22"/>
          <w:szCs w:val="22"/>
        </w:rPr>
        <w:t>m</w:t>
      </w:r>
      <w:r w:rsidRPr="00ED16A8">
        <w:rPr>
          <w:sz w:val="22"/>
          <w:szCs w:val="22"/>
          <w:highlight w:val="yellow"/>
        </w:rPr>
        <w:t>n</w:t>
      </w:r>
      <w:proofErr w:type="spellEnd"/>
      <w:r w:rsidRPr="00ED16A8">
        <w:rPr>
          <w:sz w:val="22"/>
          <w:szCs w:val="22"/>
        </w:rPr>
        <w:t>)</w:t>
      </w:r>
      <w:r>
        <w:tab/>
      </w:r>
      <w:r>
        <w:rPr>
          <w:u w:val="single"/>
        </w:rPr>
        <w:t>Setbacks</w:t>
      </w:r>
      <w:r>
        <w:t xml:space="preserve"> – In the SFR and LR zones, all lots proposed for senior housing </w:t>
      </w:r>
      <w:r w:rsidRPr="002E4CC0">
        <w:rPr>
          <w:highlight w:val="yellow"/>
        </w:rPr>
        <w:t>or workforce housing</w:t>
      </w:r>
      <w:r>
        <w:t xml:space="preserve"> shall maintain setbacks of fifty (50) feet from all property lines.</w:t>
      </w:r>
    </w:p>
    <w:p w14:paraId="107AB327" w14:textId="77777777" w:rsidR="00F31BDB" w:rsidRDefault="00F31BDB" w:rsidP="00F31BDB">
      <w:pPr>
        <w:ind w:left="864" w:hanging="432"/>
      </w:pPr>
      <w:r>
        <w:t>(</w:t>
      </w:r>
      <w:r w:rsidRPr="00ED16A8">
        <w:rPr>
          <w:dstrike/>
        </w:rPr>
        <w:t>n</w:t>
      </w:r>
      <w:r w:rsidRPr="00ED16A8">
        <w:rPr>
          <w:highlight w:val="yellow"/>
        </w:rPr>
        <w:t>o</w:t>
      </w:r>
      <w:r>
        <w:t>)</w:t>
      </w:r>
      <w:r>
        <w:tab/>
      </w:r>
      <w:r>
        <w:rPr>
          <w:u w:val="single"/>
        </w:rPr>
        <w:t>Development Size</w:t>
      </w:r>
      <w:r>
        <w:t xml:space="preserve"> – The minimum area of a senior housing </w:t>
      </w:r>
      <w:r w:rsidRPr="002E4CC0">
        <w:rPr>
          <w:highlight w:val="yellow"/>
        </w:rPr>
        <w:t>or workforce housing</w:t>
      </w:r>
      <w:r>
        <w:t xml:space="preserve"> development in a residential zone shall be three (3) gross acres and the maximum area shall be ten (10) gross acres.</w:t>
      </w:r>
    </w:p>
    <w:p w14:paraId="4E379770" w14:textId="77777777" w:rsidR="00F31BDB" w:rsidRDefault="00F31BDB" w:rsidP="00F31BDB">
      <w:pPr>
        <w:ind w:left="864" w:hanging="432"/>
      </w:pPr>
      <w:r>
        <w:t>(</w:t>
      </w:r>
      <w:r w:rsidRPr="00ED16A8">
        <w:rPr>
          <w:dstrike/>
        </w:rPr>
        <w:t>o</w:t>
      </w:r>
      <w:r w:rsidRPr="00ED16A8">
        <w:rPr>
          <w:highlight w:val="yellow"/>
        </w:rPr>
        <w:t>p</w:t>
      </w:r>
      <w:r>
        <w:t>)</w:t>
      </w:r>
      <w:r>
        <w:tab/>
      </w:r>
      <w:r>
        <w:rPr>
          <w:u w:val="single"/>
        </w:rPr>
        <w:t>Permitted Uses</w:t>
      </w:r>
      <w:r>
        <w:t xml:space="preserve"> – The uses permitted and permitted by special exception in a senior housing </w:t>
      </w:r>
      <w:r w:rsidRPr="002E4CC0">
        <w:rPr>
          <w:highlight w:val="yellow"/>
        </w:rPr>
        <w:t>or workforce housing</w:t>
      </w:r>
      <w:r>
        <w:t xml:space="preserve"> development are the same as those allowed elsewhere in the same zone as regulated by Article 4. </w:t>
      </w:r>
    </w:p>
    <w:p w14:paraId="45B98D56" w14:textId="77777777" w:rsidR="00F31BDB" w:rsidRDefault="00F31BDB" w:rsidP="00F31BDB">
      <w:pPr>
        <w:ind w:left="864" w:hanging="432"/>
      </w:pPr>
      <w:r>
        <w:t>(</w:t>
      </w:r>
      <w:proofErr w:type="spellStart"/>
      <w:r w:rsidRPr="00ED16A8">
        <w:rPr>
          <w:dstrike/>
        </w:rPr>
        <w:t>p</w:t>
      </w:r>
      <w:r w:rsidRPr="00ED16A8">
        <w:rPr>
          <w:highlight w:val="yellow"/>
        </w:rPr>
        <w:t>q</w:t>
      </w:r>
      <w:proofErr w:type="spellEnd"/>
      <w:r>
        <w:t>)</w:t>
      </w:r>
      <w:r>
        <w:tab/>
      </w:r>
      <w:r>
        <w:rPr>
          <w:u w:val="single"/>
        </w:rPr>
        <w:t>Conflicting Regulations</w:t>
      </w:r>
      <w:r>
        <w:t xml:space="preserve"> – To the extent that the specific requirements of this section are inconsistent or at variance with any other requirements contained within the ordinances of the Town of Gilford, the requirements imposed herein shall govern and control senior housing </w:t>
      </w:r>
      <w:r w:rsidRPr="002E4CC0">
        <w:rPr>
          <w:highlight w:val="yellow"/>
        </w:rPr>
        <w:t>and workforce housing</w:t>
      </w:r>
      <w:r>
        <w:t xml:space="preserve"> developments.</w:t>
      </w:r>
    </w:p>
    <w:p w14:paraId="7A6FFA6C" w14:textId="77777777" w:rsidR="00F31BDB" w:rsidRDefault="00F31BDB" w:rsidP="00F31BDB"/>
    <w:p w14:paraId="5A974C8E" w14:textId="77777777" w:rsidR="00543241" w:rsidRDefault="00543241" w:rsidP="00543241"/>
    <w:p w14:paraId="7960CBA8" w14:textId="77777777" w:rsidR="00543241" w:rsidRDefault="00543241" w:rsidP="00543241"/>
    <w:p w14:paraId="1171F7B3" w14:textId="77777777" w:rsidR="00E55211" w:rsidRDefault="00E55211" w:rsidP="00E55211">
      <w:pPr>
        <w:ind w:left="432" w:hanging="432"/>
        <w:rPr>
          <w:rFonts w:ascii="Arial" w:hAnsi="Arial" w:cs="Arial"/>
          <w:color w:val="000000"/>
          <w:sz w:val="18"/>
          <w:szCs w:val="18"/>
          <w:highlight w:val="yellow"/>
        </w:rPr>
      </w:pPr>
    </w:p>
    <w:p w14:paraId="5C3857AE" w14:textId="77777777" w:rsidR="00391444" w:rsidRDefault="00391444" w:rsidP="00E55211">
      <w:pPr>
        <w:ind w:left="432" w:hanging="432"/>
        <w:rPr>
          <w:rFonts w:ascii="Arial" w:hAnsi="Arial" w:cs="Arial"/>
          <w:color w:val="000000"/>
          <w:sz w:val="18"/>
          <w:szCs w:val="18"/>
          <w:highlight w:val="yellow"/>
        </w:rPr>
      </w:pPr>
    </w:p>
    <w:p w14:paraId="78889D40" w14:textId="77777777" w:rsidR="00391444" w:rsidRDefault="00391444" w:rsidP="00E55211">
      <w:pPr>
        <w:ind w:left="432" w:hanging="432"/>
        <w:rPr>
          <w:rFonts w:ascii="Arial" w:hAnsi="Arial" w:cs="Arial"/>
          <w:color w:val="000000"/>
          <w:sz w:val="18"/>
          <w:szCs w:val="18"/>
          <w:highlight w:val="yellow"/>
        </w:rPr>
      </w:pPr>
    </w:p>
    <w:p w14:paraId="2C05A7CC" w14:textId="77777777" w:rsidR="00F821A6" w:rsidRDefault="00F821A6" w:rsidP="00E55211">
      <w:pPr>
        <w:ind w:left="432" w:hanging="432"/>
        <w:rPr>
          <w:rFonts w:ascii="Arial" w:hAnsi="Arial" w:cs="Arial"/>
          <w:color w:val="000000"/>
          <w:sz w:val="18"/>
          <w:szCs w:val="18"/>
          <w:highlight w:val="yellow"/>
        </w:rPr>
      </w:pPr>
    </w:p>
    <w:p w14:paraId="70030736" w14:textId="77777777" w:rsidR="00E55211" w:rsidRPr="00391444" w:rsidRDefault="00E55211" w:rsidP="00E55211">
      <w:pPr>
        <w:ind w:left="432" w:hanging="432"/>
        <w:rPr>
          <w:rFonts w:ascii="Arial" w:hAnsi="Arial" w:cs="Arial"/>
          <w:color w:val="000000"/>
          <w:sz w:val="22"/>
          <w:szCs w:val="22"/>
        </w:rPr>
      </w:pPr>
      <w:r w:rsidRPr="00391444">
        <w:rPr>
          <w:rFonts w:ascii="Arial" w:hAnsi="Arial" w:cs="Arial"/>
          <w:color w:val="000000"/>
          <w:sz w:val="22"/>
          <w:szCs w:val="22"/>
          <w:highlight w:val="yellow"/>
        </w:rPr>
        <w:t>Yellow highlighted text</w:t>
      </w:r>
      <w:r w:rsidRPr="00391444">
        <w:rPr>
          <w:rFonts w:ascii="Arial" w:hAnsi="Arial" w:cs="Arial"/>
          <w:color w:val="000000"/>
          <w:sz w:val="22"/>
          <w:szCs w:val="22"/>
        </w:rPr>
        <w:t xml:space="preserve"> is proposed new wording.</w:t>
      </w:r>
    </w:p>
    <w:p w14:paraId="3F38951C" w14:textId="77777777" w:rsidR="004D1795" w:rsidRPr="00391444" w:rsidRDefault="00E55211" w:rsidP="00E55211">
      <w:pPr>
        <w:ind w:left="432" w:hanging="432"/>
        <w:rPr>
          <w:rFonts w:ascii="Arial" w:hAnsi="Arial" w:cs="Arial"/>
          <w:color w:val="000000"/>
          <w:sz w:val="22"/>
          <w:szCs w:val="22"/>
        </w:rPr>
      </w:pPr>
      <w:r w:rsidRPr="00391444">
        <w:rPr>
          <w:rFonts w:ascii="Arial" w:hAnsi="Arial" w:cs="Arial"/>
          <w:strike/>
          <w:color w:val="000000"/>
          <w:sz w:val="22"/>
          <w:szCs w:val="22"/>
        </w:rPr>
        <w:t>Strikeout text</w:t>
      </w:r>
      <w:r w:rsidRPr="00391444">
        <w:rPr>
          <w:rFonts w:ascii="Arial" w:hAnsi="Arial" w:cs="Arial"/>
          <w:color w:val="000000"/>
          <w:sz w:val="22"/>
          <w:szCs w:val="22"/>
        </w:rPr>
        <w:t xml:space="preserve"> is existing wording proposed to be deleted.</w:t>
      </w:r>
    </w:p>
    <w:p w14:paraId="78BD1BA0" w14:textId="77777777" w:rsidR="005209B6" w:rsidRPr="004D1795" w:rsidRDefault="005209B6" w:rsidP="00E55211">
      <w:pPr>
        <w:ind w:left="432" w:hanging="432"/>
        <w:rPr>
          <w:color w:val="000000" w:themeColor="text1"/>
        </w:rPr>
      </w:pPr>
    </w:p>
    <w:sectPr w:rsidR="005209B6" w:rsidRPr="004D1795" w:rsidSect="00E55211">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EC99F" w14:textId="77777777" w:rsidR="00E55211" w:rsidRDefault="00E55211" w:rsidP="00E55211">
      <w:r>
        <w:separator/>
      </w:r>
    </w:p>
  </w:endnote>
  <w:endnote w:type="continuationSeparator" w:id="0">
    <w:p w14:paraId="305222D1" w14:textId="77777777" w:rsidR="00E55211" w:rsidRDefault="00E55211" w:rsidP="00E5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69FE" w14:textId="2208A09D" w:rsidR="00520C82" w:rsidRDefault="00520C82" w:rsidP="00520C82">
    <w:pPr>
      <w:pStyle w:val="Footer"/>
      <w:jc w:val="center"/>
      <w:rPr>
        <w:rFonts w:ascii="Arial" w:hAnsi="Arial" w:cs="Arial"/>
        <w:b/>
        <w:bCs/>
        <w:smallCaps/>
        <w:sz w:val="16"/>
        <w:szCs w:val="16"/>
      </w:rPr>
    </w:pPr>
    <w:r>
      <w:rPr>
        <w:rFonts w:ascii="Arial" w:hAnsi="Arial" w:cs="Arial"/>
        <w:b/>
        <w:bCs/>
        <w:smallCaps/>
        <w:sz w:val="16"/>
        <w:szCs w:val="16"/>
      </w:rPr>
      <w:t>Workforce Housing Amendment</w:t>
    </w:r>
  </w:p>
  <w:p w14:paraId="01C85637" w14:textId="06B87FFB" w:rsidR="00520C82" w:rsidRPr="00520C82" w:rsidRDefault="00520C82" w:rsidP="00520C82">
    <w:pPr>
      <w:pStyle w:val="Footer"/>
      <w:jc w:val="center"/>
      <w:rPr>
        <w:rFonts w:ascii="Arial" w:hAnsi="Arial" w:cs="Arial"/>
        <w:b/>
        <w:bCs/>
        <w:smallCaps/>
        <w:sz w:val="16"/>
        <w:szCs w:val="16"/>
      </w:rPr>
    </w:pPr>
    <w:r w:rsidRPr="00520C82">
      <w:rPr>
        <w:rFonts w:ascii="Arial" w:hAnsi="Arial" w:cs="Arial"/>
        <w:b/>
        <w:bCs/>
        <w:smallCaps/>
        <w:sz w:val="16"/>
        <w:szCs w:val="16"/>
      </w:rPr>
      <w:t>Draft Zoning Ordinance Amendment for 1</w:t>
    </w:r>
    <w:r w:rsidRPr="00520C82">
      <w:rPr>
        <w:rFonts w:ascii="Arial" w:hAnsi="Arial" w:cs="Arial"/>
        <w:b/>
        <w:bCs/>
        <w:smallCaps/>
        <w:sz w:val="16"/>
        <w:szCs w:val="16"/>
        <w:vertAlign w:val="superscript"/>
      </w:rPr>
      <w:t>st</w:t>
    </w:r>
    <w:r w:rsidRPr="00520C82">
      <w:rPr>
        <w:rFonts w:ascii="Arial" w:hAnsi="Arial" w:cs="Arial"/>
        <w:b/>
        <w:bCs/>
        <w:smallCaps/>
        <w:sz w:val="16"/>
        <w:szCs w:val="16"/>
      </w:rPr>
      <w:t xml:space="preserve"> Public Hearing ● January 8, 2024</w:t>
    </w:r>
  </w:p>
  <w:p w14:paraId="7B450488" w14:textId="0E120D93" w:rsidR="00520C82" w:rsidRPr="00520C82" w:rsidRDefault="00520C82" w:rsidP="00520C82">
    <w:pPr>
      <w:pStyle w:val="Footer"/>
      <w:jc w:val="center"/>
      <w:rPr>
        <w:rFonts w:ascii="Arial" w:hAnsi="Arial" w:cs="Arial"/>
        <w:b/>
        <w:bCs/>
        <w:smallCaps/>
        <w:sz w:val="16"/>
        <w:szCs w:val="16"/>
      </w:rPr>
    </w:pPr>
    <w:r w:rsidRPr="00520C82">
      <w:rPr>
        <w:rFonts w:ascii="Arial" w:hAnsi="Arial" w:cs="Arial"/>
        <w:b/>
        <w:bCs/>
        <w:smallCaps/>
        <w:sz w:val="16"/>
        <w:szCs w:val="16"/>
      </w:rPr>
      <w:t>Town of Gilford Planning Board</w:t>
    </w:r>
    <w:r>
      <w:rPr>
        <w:rFonts w:ascii="Arial" w:hAnsi="Arial" w:cs="Arial"/>
        <w:b/>
        <w:bCs/>
        <w:smallCaps/>
        <w:sz w:val="16"/>
        <w:szCs w:val="16"/>
      </w:rPr>
      <w:t xml:space="preserve"> </w:t>
    </w:r>
    <w:r w:rsidRPr="00520C82">
      <w:rPr>
        <w:rFonts w:ascii="Arial" w:hAnsi="Arial" w:cs="Arial"/>
        <w:b/>
        <w:bCs/>
        <w:smallCaps/>
        <w:sz w:val="16"/>
        <w:szCs w:val="16"/>
      </w:rPr>
      <w:t xml:space="preserve">● </w:t>
    </w:r>
    <w:r w:rsidRPr="00520C82">
      <w:rPr>
        <w:rFonts w:ascii="Arial" w:hAnsi="Arial" w:cs="Arial"/>
        <w:b/>
        <w:bCs/>
        <w:smallCaps/>
        <w:sz w:val="16"/>
        <w:szCs w:val="16"/>
      </w:rPr>
      <w:t xml:space="preserve">Page </w:t>
    </w:r>
    <w:r w:rsidRPr="00520C82">
      <w:rPr>
        <w:rFonts w:ascii="Arial" w:hAnsi="Arial" w:cs="Arial"/>
        <w:b/>
        <w:bCs/>
        <w:smallCaps/>
        <w:sz w:val="16"/>
        <w:szCs w:val="16"/>
      </w:rPr>
      <w:fldChar w:fldCharType="begin"/>
    </w:r>
    <w:r w:rsidRPr="00520C82">
      <w:rPr>
        <w:rFonts w:ascii="Arial" w:hAnsi="Arial" w:cs="Arial"/>
        <w:b/>
        <w:bCs/>
        <w:smallCaps/>
        <w:sz w:val="16"/>
        <w:szCs w:val="16"/>
      </w:rPr>
      <w:instrText xml:space="preserve"> PAGE </w:instrText>
    </w:r>
    <w:r w:rsidRPr="00520C82">
      <w:rPr>
        <w:rFonts w:ascii="Arial" w:hAnsi="Arial" w:cs="Arial"/>
        <w:b/>
        <w:bCs/>
        <w:smallCaps/>
        <w:sz w:val="16"/>
        <w:szCs w:val="16"/>
      </w:rPr>
      <w:fldChar w:fldCharType="separate"/>
    </w:r>
    <w:r w:rsidRPr="00520C82">
      <w:rPr>
        <w:rFonts w:ascii="Arial" w:hAnsi="Arial" w:cs="Arial"/>
        <w:b/>
        <w:bCs/>
        <w:smallCaps/>
        <w:sz w:val="16"/>
        <w:szCs w:val="16"/>
      </w:rPr>
      <w:t>1</w:t>
    </w:r>
    <w:r w:rsidRPr="00520C82">
      <w:rPr>
        <w:rFonts w:ascii="Arial" w:hAnsi="Arial" w:cs="Arial"/>
        <w:b/>
        <w:bCs/>
        <w:smallCaps/>
        <w:sz w:val="16"/>
        <w:szCs w:val="16"/>
      </w:rPr>
      <w:fldChar w:fldCharType="end"/>
    </w:r>
    <w:r w:rsidRPr="00520C82">
      <w:rPr>
        <w:rFonts w:ascii="Arial" w:hAnsi="Arial" w:cs="Arial"/>
        <w:b/>
        <w:bCs/>
        <w:smallCaps/>
        <w:sz w:val="16"/>
        <w:szCs w:val="16"/>
      </w:rPr>
      <w:t xml:space="preserve"> of </w:t>
    </w:r>
    <w:r w:rsidRPr="00520C82">
      <w:rPr>
        <w:rFonts w:ascii="Arial" w:hAnsi="Arial" w:cs="Arial"/>
        <w:b/>
        <w:bCs/>
        <w:smallCaps/>
        <w:sz w:val="16"/>
        <w:szCs w:val="16"/>
      </w:rPr>
      <w:fldChar w:fldCharType="begin"/>
    </w:r>
    <w:r w:rsidRPr="00520C82">
      <w:rPr>
        <w:rFonts w:ascii="Arial" w:hAnsi="Arial" w:cs="Arial"/>
        <w:b/>
        <w:bCs/>
        <w:smallCaps/>
        <w:sz w:val="16"/>
        <w:szCs w:val="16"/>
      </w:rPr>
      <w:instrText xml:space="preserve"> NUMPAGES  </w:instrText>
    </w:r>
    <w:r w:rsidRPr="00520C82">
      <w:rPr>
        <w:rFonts w:ascii="Arial" w:hAnsi="Arial" w:cs="Arial"/>
        <w:b/>
        <w:bCs/>
        <w:smallCaps/>
        <w:sz w:val="16"/>
        <w:szCs w:val="16"/>
      </w:rPr>
      <w:fldChar w:fldCharType="separate"/>
    </w:r>
    <w:r w:rsidRPr="00520C82">
      <w:rPr>
        <w:rFonts w:ascii="Arial" w:hAnsi="Arial" w:cs="Arial"/>
        <w:b/>
        <w:bCs/>
        <w:smallCaps/>
        <w:sz w:val="16"/>
        <w:szCs w:val="16"/>
      </w:rPr>
      <w:t>8</w:t>
    </w:r>
    <w:r w:rsidRPr="00520C82">
      <w:rPr>
        <w:rFonts w:ascii="Arial" w:hAnsi="Arial" w:cs="Arial"/>
        <w:b/>
        <w:bCs/>
        <w:smallCap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E953" w14:textId="77777777" w:rsidR="00E55211" w:rsidRDefault="00E55211" w:rsidP="00E55211">
      <w:r>
        <w:separator/>
      </w:r>
    </w:p>
  </w:footnote>
  <w:footnote w:type="continuationSeparator" w:id="0">
    <w:p w14:paraId="759934A7" w14:textId="77777777" w:rsidR="00E55211" w:rsidRDefault="00E55211" w:rsidP="00E55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E08"/>
    <w:rsid w:val="0003379A"/>
    <w:rsid w:val="00093EE9"/>
    <w:rsid w:val="00135003"/>
    <w:rsid w:val="00150470"/>
    <w:rsid w:val="00155E0A"/>
    <w:rsid w:val="0035219E"/>
    <w:rsid w:val="00391444"/>
    <w:rsid w:val="004D1795"/>
    <w:rsid w:val="00502928"/>
    <w:rsid w:val="005158EA"/>
    <w:rsid w:val="00520601"/>
    <w:rsid w:val="005209B6"/>
    <w:rsid w:val="00520C82"/>
    <w:rsid w:val="00543241"/>
    <w:rsid w:val="005850C3"/>
    <w:rsid w:val="005A7F71"/>
    <w:rsid w:val="005D0C1C"/>
    <w:rsid w:val="00661C98"/>
    <w:rsid w:val="0070224F"/>
    <w:rsid w:val="0083176B"/>
    <w:rsid w:val="008B27C9"/>
    <w:rsid w:val="008F21A3"/>
    <w:rsid w:val="00925CE4"/>
    <w:rsid w:val="009266BE"/>
    <w:rsid w:val="00980B15"/>
    <w:rsid w:val="009951E5"/>
    <w:rsid w:val="009D0E08"/>
    <w:rsid w:val="00AD3048"/>
    <w:rsid w:val="00B4522B"/>
    <w:rsid w:val="00BB602A"/>
    <w:rsid w:val="00BC5E27"/>
    <w:rsid w:val="00BD1331"/>
    <w:rsid w:val="00CC378E"/>
    <w:rsid w:val="00E55211"/>
    <w:rsid w:val="00EB2FCF"/>
    <w:rsid w:val="00EE408E"/>
    <w:rsid w:val="00F2785A"/>
    <w:rsid w:val="00F31BDB"/>
    <w:rsid w:val="00F42D55"/>
    <w:rsid w:val="00F821A6"/>
    <w:rsid w:val="00F92832"/>
    <w:rsid w:val="00FD0173"/>
    <w:rsid w:val="00FF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4:docId w14:val="7E65BBAC"/>
  <w15:chartTrackingRefBased/>
  <w15:docId w15:val="{DC070747-F814-4A11-8C4B-450669D2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D1331"/>
    <w:pPr>
      <w:framePr w:w="7920" w:h="1980" w:hRule="exact" w:hSpace="180" w:wrap="auto" w:hAnchor="page" w:xAlign="center" w:yAlign="bottom"/>
      <w:ind w:left="2880"/>
    </w:pPr>
    <w:rPr>
      <w:rFonts w:ascii="Arial" w:eastAsiaTheme="majorEastAsia" w:hAnsi="Arial" w:cstheme="majorBidi"/>
    </w:rPr>
  </w:style>
  <w:style w:type="paragraph" w:customStyle="1" w:styleId="Default">
    <w:name w:val="Default"/>
    <w:basedOn w:val="Normal"/>
    <w:rsid w:val="004D1795"/>
    <w:pPr>
      <w:autoSpaceDE w:val="0"/>
      <w:autoSpaceDN w:val="0"/>
    </w:pPr>
    <w:rPr>
      <w:color w:val="000000"/>
    </w:rPr>
  </w:style>
  <w:style w:type="paragraph" w:styleId="Header">
    <w:name w:val="header"/>
    <w:basedOn w:val="Normal"/>
    <w:link w:val="HeaderChar"/>
    <w:uiPriority w:val="99"/>
    <w:unhideWhenUsed/>
    <w:rsid w:val="00E55211"/>
    <w:pPr>
      <w:tabs>
        <w:tab w:val="center" w:pos="4680"/>
        <w:tab w:val="right" w:pos="9360"/>
      </w:tabs>
    </w:pPr>
  </w:style>
  <w:style w:type="character" w:customStyle="1" w:styleId="HeaderChar">
    <w:name w:val="Header Char"/>
    <w:basedOn w:val="DefaultParagraphFont"/>
    <w:link w:val="Header"/>
    <w:uiPriority w:val="99"/>
    <w:rsid w:val="00E55211"/>
  </w:style>
  <w:style w:type="paragraph" w:styleId="Footer">
    <w:name w:val="footer"/>
    <w:basedOn w:val="Normal"/>
    <w:link w:val="FooterChar"/>
    <w:uiPriority w:val="99"/>
    <w:unhideWhenUsed/>
    <w:rsid w:val="00E55211"/>
    <w:pPr>
      <w:tabs>
        <w:tab w:val="center" w:pos="4680"/>
        <w:tab w:val="right" w:pos="9360"/>
      </w:tabs>
    </w:pPr>
  </w:style>
  <w:style w:type="character" w:customStyle="1" w:styleId="FooterChar">
    <w:name w:val="Footer Char"/>
    <w:basedOn w:val="DefaultParagraphFont"/>
    <w:link w:val="Footer"/>
    <w:uiPriority w:val="99"/>
    <w:rsid w:val="00E55211"/>
  </w:style>
  <w:style w:type="paragraph" w:styleId="BodyText">
    <w:name w:val="Body Text"/>
    <w:basedOn w:val="Normal"/>
    <w:link w:val="BodyTextChar"/>
    <w:rsid w:val="00E55211"/>
    <w:rPr>
      <w:rFonts w:eastAsia="Times New Roman"/>
      <w:szCs w:val="20"/>
    </w:rPr>
  </w:style>
  <w:style w:type="character" w:customStyle="1" w:styleId="BodyTextChar">
    <w:name w:val="Body Text Char"/>
    <w:basedOn w:val="DefaultParagraphFont"/>
    <w:link w:val="BodyText"/>
    <w:rsid w:val="00E55211"/>
    <w:rPr>
      <w:rFonts w:eastAsia="Times New Roman"/>
      <w:szCs w:val="20"/>
    </w:rPr>
  </w:style>
  <w:style w:type="paragraph" w:styleId="BalloonText">
    <w:name w:val="Balloon Text"/>
    <w:basedOn w:val="Normal"/>
    <w:link w:val="BalloonTextChar"/>
    <w:uiPriority w:val="99"/>
    <w:semiHidden/>
    <w:unhideWhenUsed/>
    <w:rsid w:val="00E55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153">
      <w:bodyDiv w:val="1"/>
      <w:marLeft w:val="0"/>
      <w:marRight w:val="0"/>
      <w:marTop w:val="0"/>
      <w:marBottom w:val="0"/>
      <w:divBdr>
        <w:top w:val="none" w:sz="0" w:space="0" w:color="auto"/>
        <w:left w:val="none" w:sz="0" w:space="0" w:color="auto"/>
        <w:bottom w:val="none" w:sz="0" w:space="0" w:color="auto"/>
        <w:right w:val="none" w:sz="0" w:space="0" w:color="auto"/>
      </w:divBdr>
    </w:div>
    <w:div w:id="214852845">
      <w:bodyDiv w:val="1"/>
      <w:marLeft w:val="0"/>
      <w:marRight w:val="0"/>
      <w:marTop w:val="0"/>
      <w:marBottom w:val="0"/>
      <w:divBdr>
        <w:top w:val="none" w:sz="0" w:space="0" w:color="auto"/>
        <w:left w:val="none" w:sz="0" w:space="0" w:color="auto"/>
        <w:bottom w:val="none" w:sz="0" w:space="0" w:color="auto"/>
        <w:right w:val="none" w:sz="0" w:space="0" w:color="auto"/>
      </w:divBdr>
    </w:div>
    <w:div w:id="19115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F9E30-7A1C-42C0-A556-30BAD590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Ayer</dc:creator>
  <cp:keywords/>
  <dc:description/>
  <cp:lastModifiedBy>John Ayer</cp:lastModifiedBy>
  <cp:revision>3</cp:revision>
  <cp:lastPrinted>2023-12-26T16:41:00Z</cp:lastPrinted>
  <dcterms:created xsi:type="dcterms:W3CDTF">2023-12-26T16:14:00Z</dcterms:created>
  <dcterms:modified xsi:type="dcterms:W3CDTF">2023-12-26T16:51:00Z</dcterms:modified>
</cp:coreProperties>
</file>